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7F30E2">
      <w:pPr>
        <w:jc w:val="center"/>
        <w:rPr>
          <w:rFonts w:hint="eastAsia" w:ascii="黑体" w:hAnsi="黑体" w:eastAsia="黑体"/>
          <w:sz w:val="44"/>
          <w:szCs w:val="44"/>
          <w:highlight w:val="none"/>
          <w:lang w:val="en-US" w:eastAsia="zh-CN"/>
        </w:rPr>
      </w:pPr>
    </w:p>
    <w:p w14:paraId="1BFBD0F4">
      <w:pPr>
        <w:jc w:val="center"/>
        <w:rPr>
          <w:rFonts w:hint="eastAsia" w:ascii="黑体" w:hAnsi="黑体" w:eastAsia="黑体"/>
          <w:sz w:val="44"/>
          <w:szCs w:val="44"/>
          <w:highlight w:val="none"/>
          <w:lang w:val="en-US" w:eastAsia="zh-CN"/>
        </w:rPr>
      </w:pPr>
    </w:p>
    <w:p w14:paraId="0FF05E7D">
      <w:pPr>
        <w:jc w:val="center"/>
        <w:rPr>
          <w:rFonts w:hint="eastAsia" w:ascii="黑体" w:hAnsi="黑体" w:eastAsia="黑体"/>
          <w:sz w:val="44"/>
          <w:szCs w:val="44"/>
          <w:highlight w:val="none"/>
          <w:lang w:val="en-US" w:eastAsia="zh-CN"/>
        </w:rPr>
      </w:pPr>
    </w:p>
    <w:p w14:paraId="7D377026">
      <w:pPr>
        <w:jc w:val="center"/>
        <w:rPr>
          <w:rFonts w:hint="eastAsia" w:ascii="黑体" w:hAnsi="黑体" w:eastAsia="黑体"/>
          <w:sz w:val="44"/>
          <w:szCs w:val="44"/>
          <w:highlight w:val="none"/>
          <w:lang w:val="en-US" w:eastAsia="zh-CN"/>
        </w:rPr>
      </w:pPr>
    </w:p>
    <w:p w14:paraId="1FE44031">
      <w:pPr>
        <w:jc w:val="center"/>
        <w:rPr>
          <w:rFonts w:hint="eastAsia" w:ascii="黑体" w:hAnsi="黑体" w:eastAsia="黑体"/>
          <w:sz w:val="44"/>
          <w:szCs w:val="44"/>
          <w:highlight w:val="none"/>
          <w:lang w:val="en-US" w:eastAsia="zh-CN"/>
        </w:rPr>
      </w:pPr>
    </w:p>
    <w:p w14:paraId="6C7E4DB7">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yellow"/>
          <w:lang w:val="en-US" w:eastAsia="zh-CN"/>
        </w:rPr>
        <w:t>磐石市水资源服务中心单位</w:t>
      </w:r>
      <w:r>
        <w:rPr>
          <w:rFonts w:hint="eastAsia" w:ascii="黑体" w:hAnsi="黑体" w:eastAsia="黑体"/>
          <w:sz w:val="52"/>
          <w:szCs w:val="52"/>
          <w:highlight w:val="none"/>
          <w:lang w:val="en-US" w:eastAsia="zh-CN"/>
        </w:rPr>
        <w:t>2026年部门预算</w:t>
      </w:r>
    </w:p>
    <w:p w14:paraId="28244244">
      <w:pPr>
        <w:jc w:val="center"/>
        <w:rPr>
          <w:rFonts w:hint="eastAsia" w:ascii="黑体" w:hAnsi="黑体" w:eastAsia="黑体"/>
          <w:sz w:val="44"/>
          <w:szCs w:val="44"/>
          <w:highlight w:val="none"/>
        </w:rPr>
      </w:pPr>
    </w:p>
    <w:p w14:paraId="5B63A067">
      <w:pPr>
        <w:jc w:val="center"/>
        <w:rPr>
          <w:rFonts w:hint="eastAsia" w:ascii="黑体" w:hAnsi="黑体" w:eastAsia="黑体"/>
          <w:sz w:val="44"/>
          <w:szCs w:val="44"/>
          <w:highlight w:val="none"/>
        </w:rPr>
      </w:pPr>
    </w:p>
    <w:p w14:paraId="15E1037A">
      <w:pPr>
        <w:jc w:val="center"/>
        <w:rPr>
          <w:rFonts w:hint="eastAsia" w:ascii="黑体" w:hAnsi="黑体" w:eastAsia="黑体"/>
          <w:sz w:val="44"/>
          <w:szCs w:val="44"/>
          <w:highlight w:val="none"/>
        </w:rPr>
      </w:pPr>
    </w:p>
    <w:p w14:paraId="5BB5C4DF">
      <w:pPr>
        <w:jc w:val="center"/>
        <w:rPr>
          <w:rFonts w:hint="eastAsia" w:ascii="黑体" w:hAnsi="黑体" w:eastAsia="黑体"/>
          <w:sz w:val="44"/>
          <w:szCs w:val="44"/>
          <w:highlight w:val="none"/>
        </w:rPr>
      </w:pPr>
    </w:p>
    <w:p w14:paraId="03D1FB1B">
      <w:pPr>
        <w:jc w:val="center"/>
        <w:rPr>
          <w:rFonts w:hint="eastAsia" w:ascii="黑体" w:hAnsi="黑体" w:eastAsia="黑体"/>
          <w:sz w:val="44"/>
          <w:szCs w:val="44"/>
          <w:highlight w:val="none"/>
        </w:rPr>
      </w:pPr>
    </w:p>
    <w:p w14:paraId="0A8FBA04">
      <w:pPr>
        <w:jc w:val="center"/>
        <w:rPr>
          <w:rFonts w:hint="eastAsia" w:ascii="黑体" w:hAnsi="黑体" w:eastAsia="黑体"/>
          <w:sz w:val="44"/>
          <w:szCs w:val="44"/>
          <w:highlight w:val="none"/>
        </w:rPr>
      </w:pPr>
    </w:p>
    <w:p w14:paraId="2DB88FF3">
      <w:pPr>
        <w:jc w:val="center"/>
        <w:rPr>
          <w:rFonts w:hint="eastAsia" w:ascii="黑体" w:hAnsi="黑体" w:eastAsia="黑体"/>
          <w:sz w:val="44"/>
          <w:szCs w:val="44"/>
          <w:highlight w:val="none"/>
        </w:rPr>
      </w:pPr>
    </w:p>
    <w:p w14:paraId="0BED7242">
      <w:pPr>
        <w:jc w:val="center"/>
        <w:rPr>
          <w:rFonts w:hint="eastAsia" w:ascii="黑体" w:hAnsi="黑体" w:eastAsia="黑体"/>
          <w:sz w:val="44"/>
          <w:szCs w:val="44"/>
          <w:highlight w:val="none"/>
        </w:rPr>
      </w:pPr>
    </w:p>
    <w:p w14:paraId="37CE19EE">
      <w:pPr>
        <w:jc w:val="center"/>
        <w:rPr>
          <w:rFonts w:hint="eastAsia" w:ascii="黑体" w:hAnsi="黑体" w:eastAsia="黑体"/>
          <w:sz w:val="44"/>
          <w:szCs w:val="44"/>
          <w:highlight w:val="none"/>
        </w:rPr>
      </w:pPr>
    </w:p>
    <w:p w14:paraId="4E51E6ED">
      <w:pPr>
        <w:jc w:val="center"/>
        <w:rPr>
          <w:rFonts w:hint="eastAsia" w:ascii="黑体" w:hAnsi="黑体" w:eastAsia="黑体"/>
          <w:sz w:val="44"/>
          <w:szCs w:val="44"/>
          <w:highlight w:val="none"/>
        </w:rPr>
      </w:pPr>
    </w:p>
    <w:p w14:paraId="1E638D0D">
      <w:pPr>
        <w:jc w:val="center"/>
        <w:rPr>
          <w:rFonts w:hint="default" w:ascii="黑体" w:hAnsi="黑体" w:eastAsia="黑体"/>
          <w:sz w:val="44"/>
          <w:szCs w:val="44"/>
          <w:highlight w:val="yellow"/>
          <w:lang w:val="en-US" w:eastAsia="zh-CN"/>
        </w:rPr>
      </w:pPr>
      <w:r>
        <w:rPr>
          <w:rFonts w:hint="eastAsia" w:ascii="黑体" w:hAnsi="黑体" w:eastAsia="黑体"/>
          <w:sz w:val="44"/>
          <w:szCs w:val="44"/>
          <w:highlight w:val="yellow"/>
          <w:lang w:val="en-US" w:eastAsia="zh-CN"/>
        </w:rPr>
        <w:t>二〇二六年二月三日</w:t>
      </w:r>
    </w:p>
    <w:p w14:paraId="5151C94D">
      <w:pPr>
        <w:jc w:val="center"/>
        <w:rPr>
          <w:rFonts w:hint="eastAsia" w:ascii="黑体" w:hAnsi="黑体" w:eastAsia="黑体"/>
          <w:sz w:val="44"/>
          <w:szCs w:val="44"/>
          <w:highlight w:val="none"/>
        </w:rPr>
      </w:pPr>
    </w:p>
    <w:p w14:paraId="7B8533FF">
      <w:pPr>
        <w:jc w:val="center"/>
        <w:rPr>
          <w:rFonts w:hint="eastAsia" w:ascii="黑体" w:hAnsi="黑体" w:eastAsia="黑体"/>
          <w:sz w:val="44"/>
          <w:szCs w:val="44"/>
          <w:highlight w:val="none"/>
        </w:rPr>
      </w:pPr>
    </w:p>
    <w:p w14:paraId="2E06DBED">
      <w:pPr>
        <w:jc w:val="both"/>
        <w:rPr>
          <w:rFonts w:hint="eastAsia" w:ascii="黑体" w:hAnsi="黑体" w:eastAsia="黑体"/>
          <w:sz w:val="44"/>
          <w:szCs w:val="44"/>
          <w:highlight w:val="none"/>
        </w:rPr>
      </w:pPr>
    </w:p>
    <w:p w14:paraId="5F119D9C">
      <w:pPr>
        <w:jc w:val="both"/>
        <w:rPr>
          <w:rFonts w:hint="eastAsia" w:ascii="黑体" w:hAnsi="黑体" w:eastAsia="黑体"/>
          <w:sz w:val="44"/>
          <w:szCs w:val="44"/>
          <w:highlight w:val="none"/>
        </w:rPr>
      </w:pPr>
    </w:p>
    <w:p w14:paraId="55F8201F">
      <w:pPr>
        <w:jc w:val="center"/>
        <w:rPr>
          <w:rFonts w:ascii="黑体" w:hAnsi="黑体" w:eastAsia="黑体"/>
          <w:sz w:val="44"/>
          <w:szCs w:val="44"/>
          <w:highlight w:val="none"/>
        </w:rPr>
      </w:pPr>
      <w:r>
        <w:rPr>
          <w:rFonts w:hint="eastAsia" w:ascii="黑体" w:hAnsi="黑体" w:eastAsia="黑体"/>
          <w:sz w:val="44"/>
          <w:szCs w:val="44"/>
          <w:highlight w:val="yellow"/>
          <w:lang w:val="en-US" w:eastAsia="zh-CN"/>
        </w:rPr>
        <w:t>磐石市水资源服务中心</w:t>
      </w:r>
      <w:r>
        <w:rPr>
          <w:rFonts w:hint="eastAsia" w:ascii="黑体" w:hAnsi="黑体" w:eastAsia="黑体"/>
          <w:sz w:val="44"/>
          <w:szCs w:val="44"/>
          <w:highlight w:val="yellow"/>
          <w:lang w:eastAsia="zh-CN"/>
        </w:rPr>
        <w:t>部门（</w:t>
      </w:r>
      <w:r>
        <w:rPr>
          <w:rFonts w:hint="eastAsia" w:ascii="黑体" w:hAnsi="黑体" w:eastAsia="黑体"/>
          <w:sz w:val="44"/>
          <w:szCs w:val="44"/>
          <w:highlight w:val="yellow"/>
        </w:rPr>
        <w:t>单位</w:t>
      </w:r>
      <w:r>
        <w:rPr>
          <w:rFonts w:hint="eastAsia" w:ascii="黑体" w:hAnsi="黑体" w:eastAsia="黑体"/>
          <w:sz w:val="44"/>
          <w:szCs w:val="44"/>
          <w:highlight w:val="yellow"/>
          <w:lang w:eastAsia="zh-CN"/>
        </w:rPr>
        <w:t>）</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6</w:t>
      </w:r>
      <w:r>
        <w:rPr>
          <w:rFonts w:hint="eastAsia" w:ascii="黑体" w:hAnsi="黑体" w:eastAsia="黑体"/>
          <w:sz w:val="44"/>
          <w:szCs w:val="44"/>
          <w:highlight w:val="none"/>
        </w:rPr>
        <w:t>年预算</w:t>
      </w:r>
    </w:p>
    <w:p w14:paraId="554DADC1">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0FBB278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50AA5A6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B132119">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1A15EC93">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0BB4E662">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A9DBCE0">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9C7582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0BDD22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5D0F404C">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50EDE8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B812D9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536E1C8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DC0B894">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27304E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5A0FB9D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7E9E2AC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33D5E70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6FF2F227">
      <w:pPr>
        <w:rPr>
          <w:rFonts w:ascii="仿宋" w:hAnsi="仿宋" w:eastAsia="仿宋"/>
          <w:sz w:val="32"/>
          <w:szCs w:val="32"/>
          <w:highlight w:val="none"/>
        </w:rPr>
      </w:pPr>
    </w:p>
    <w:p w14:paraId="0698594F">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0575BA53">
      <w:pPr>
        <w:jc w:val="left"/>
        <w:rPr>
          <w:rFonts w:hint="eastAsia" w:ascii="仿宋" w:hAnsi="仿宋" w:eastAsia="仿宋"/>
          <w:sz w:val="32"/>
          <w:szCs w:val="32"/>
          <w:highlight w:val="none"/>
        </w:rPr>
      </w:pPr>
      <w:r>
        <w:rPr>
          <w:rFonts w:hint="eastAsia" w:ascii="仿宋" w:hAnsi="仿宋" w:eastAsia="仿宋"/>
          <w:sz w:val="32"/>
          <w:szCs w:val="32"/>
          <w:highlight w:val="none"/>
        </w:rPr>
        <w:t xml:space="preserve">  </w:t>
      </w:r>
    </w:p>
    <w:p w14:paraId="408D707C">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0358CAD2">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磐石市水资源服务中心</w:t>
      </w:r>
    </w:p>
    <w:p w14:paraId="7F97B5C7">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1989</w:t>
      </w:r>
      <w:r>
        <w:rPr>
          <w:rFonts w:hint="eastAsia" w:ascii="仿宋" w:hAnsi="仿宋" w:eastAsia="仿宋"/>
          <w:bCs/>
          <w:kern w:val="0"/>
          <w:sz w:val="32"/>
          <w:szCs w:val="32"/>
          <w:highlight w:val="none"/>
        </w:rPr>
        <w:t>年</w:t>
      </w:r>
    </w:p>
    <w:p w14:paraId="4F115404">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磐石市水资源服务中心是以水资源开发、节约、利用和保护为主，以地下水监测为重，是公益一类事业单位，财政全额拨款，在维护生态动态平衡、地下水监测等方面具有重大的作用</w:t>
      </w:r>
      <w:r>
        <w:rPr>
          <w:rFonts w:hint="eastAsia" w:ascii="仿宋" w:hAnsi="仿宋" w:eastAsia="仿宋"/>
          <w:kern w:val="0"/>
          <w:sz w:val="32"/>
          <w:szCs w:val="32"/>
          <w:highlight w:val="none"/>
        </w:rPr>
        <w:t>。</w:t>
      </w:r>
    </w:p>
    <w:p w14:paraId="77657183">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val="en-US" w:eastAsia="zh-CN"/>
        </w:rPr>
        <w:t>开发和管理  维护生态平衡  优化调度</w:t>
      </w:r>
    </w:p>
    <w:p w14:paraId="4B9BF476">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highlight w:val="none"/>
          <w:lang w:val="en-US" w:eastAsia="zh-CN"/>
        </w:rPr>
        <w:t>宣传节水法律法规  水资源开发、利用、保护</w:t>
      </w:r>
    </w:p>
    <w:p w14:paraId="051B348F">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 xml:space="preserve">          地下水动态监测  公报汇编</w:t>
      </w:r>
    </w:p>
    <w:p w14:paraId="5EE930F0">
      <w:pPr>
        <w:pStyle w:val="10"/>
        <w:widowControl/>
        <w:spacing w:line="620" w:lineRule="exact"/>
        <w:ind w:firstLine="627" w:firstLineChars="196"/>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358B3046">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办公室、党建组、宣传组、财会组、后勤组、技术组、监管组、水资源征收组、执法组</w:t>
      </w:r>
    </w:p>
    <w:p w14:paraId="53AC010E">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18</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21</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7EE361D9">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5EFD97A">
      <w:pPr>
        <w:jc w:val="left"/>
        <w:rPr>
          <w:rFonts w:ascii="仿宋" w:hAnsi="仿宋" w:eastAsia="仿宋"/>
          <w:sz w:val="32"/>
          <w:szCs w:val="32"/>
          <w:highlight w:val="none"/>
        </w:rPr>
      </w:pPr>
    </w:p>
    <w:p w14:paraId="13F16E72">
      <w:pPr>
        <w:jc w:val="left"/>
        <w:rPr>
          <w:rFonts w:ascii="仿宋" w:hAnsi="仿宋" w:eastAsia="仿宋"/>
          <w:sz w:val="32"/>
          <w:szCs w:val="32"/>
          <w:highlight w:val="none"/>
        </w:rPr>
      </w:pPr>
    </w:p>
    <w:p w14:paraId="0C15B364">
      <w:pPr>
        <w:jc w:val="left"/>
        <w:rPr>
          <w:rFonts w:ascii="仿宋" w:hAnsi="仿宋" w:eastAsia="仿宋"/>
          <w:sz w:val="32"/>
          <w:szCs w:val="32"/>
          <w:highlight w:val="none"/>
        </w:rPr>
      </w:pPr>
    </w:p>
    <w:p w14:paraId="591F9F8B">
      <w:pPr>
        <w:jc w:val="left"/>
        <w:rPr>
          <w:rFonts w:ascii="仿宋" w:hAnsi="仿宋" w:eastAsia="仿宋"/>
          <w:sz w:val="32"/>
          <w:szCs w:val="32"/>
          <w:highlight w:val="none"/>
        </w:rPr>
      </w:pPr>
    </w:p>
    <w:p w14:paraId="639B4765">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7AD1FB0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7CBD7813">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年收支预算总体情况</w:t>
      </w:r>
    </w:p>
    <w:p w14:paraId="5680604C">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296.63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减少19.93</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缩减办公费、劳务费、业务委托费、全市水表维修维护费等</w:t>
      </w:r>
      <w:r>
        <w:rPr>
          <w:rFonts w:hint="eastAsia" w:ascii="仿宋" w:hAnsi="仿宋" w:eastAsia="仿宋"/>
          <w:sz w:val="32"/>
          <w:szCs w:val="32"/>
          <w:highlight w:val="none"/>
          <w:lang w:eastAsia="zh-CN"/>
        </w:rPr>
        <w:t>。</w:t>
      </w:r>
    </w:p>
    <w:p w14:paraId="3E40AA20">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年收入预算情况</w:t>
      </w:r>
    </w:p>
    <w:p w14:paraId="6D755908">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276.7万元，占100%；上年结转0万元，占0%。本年收入中，一般公共预算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 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50B9EF55">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年支出预算情况</w:t>
      </w:r>
    </w:p>
    <w:p w14:paraId="140D992E">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236.17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85.35</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40.53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14.65</w:t>
      </w:r>
      <w:r>
        <w:rPr>
          <w:rFonts w:hint="eastAsia" w:ascii="仿宋" w:hAnsi="仿宋" w:eastAsia="仿宋"/>
          <w:sz w:val="32"/>
          <w:szCs w:val="32"/>
          <w:highlight w:val="none"/>
          <w:lang w:eastAsia="zh-CN"/>
        </w:rPr>
        <w:t>%。</w:t>
      </w:r>
    </w:p>
    <w:p w14:paraId="740DD713">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6</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24DDBA9E">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276.7万元，上年结转0万元。支出包括：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27.25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11.23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19.25</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农林水支出218.96 万元</w:t>
      </w:r>
      <w:r>
        <w:rPr>
          <w:rFonts w:hint="eastAsia" w:ascii="仿宋" w:hAnsi="仿宋" w:eastAsia="仿宋"/>
          <w:sz w:val="32"/>
          <w:szCs w:val="32"/>
          <w:highlight w:val="none"/>
        </w:rPr>
        <w:t>。</w:t>
      </w:r>
    </w:p>
    <w:p w14:paraId="348A1E13">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6</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45D3167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276.7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236.17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85.35</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40.53</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14.65</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221.18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93.65</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14.99</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6.35</w:t>
      </w:r>
      <w:r>
        <w:rPr>
          <w:rFonts w:hint="eastAsia" w:ascii="仿宋" w:hAnsi="仿宋" w:eastAsia="仿宋"/>
          <w:sz w:val="32"/>
          <w:szCs w:val="32"/>
          <w:highlight w:val="none"/>
        </w:rPr>
        <w:t>%。</w:t>
      </w:r>
    </w:p>
    <w:p w14:paraId="097176D0">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社会保障和就业（类）支出27.25万元，占9.85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缴纳员工工资、养老保险、失业保险、工伤保险、职业年金等。</w:t>
      </w:r>
    </w:p>
    <w:p w14:paraId="72629D0E">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卫生健康（类）支出11.23万元，占4.06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缴纳员工医疗保险。</w:t>
      </w:r>
    </w:p>
    <w:p w14:paraId="35133557">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住房保障（类）支出19.25万元，占6.96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缴纳员工住房公积金。</w:t>
      </w:r>
    </w:p>
    <w:p w14:paraId="61C17B7F">
      <w:pPr>
        <w:pStyle w:val="9"/>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农林水支出（类）218.96 万元，占79.13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日常办公费用、车辆运行费用、以及项目维护与管理等。</w:t>
      </w:r>
    </w:p>
    <w:p w14:paraId="70ECB3F5">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2026年一般公共预算基本支出情况</w:t>
      </w:r>
    </w:p>
    <w:p w14:paraId="7DAF1D3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2026年一般公共预算基本支出 236.17万元，其中：</w:t>
      </w:r>
    </w:p>
    <w:p w14:paraId="50136E6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221.16</w:t>
      </w:r>
      <w:r>
        <w:rPr>
          <w:rFonts w:hint="eastAsia" w:ascii="仿宋" w:hAnsi="仿宋" w:eastAsia="仿宋"/>
          <w:sz w:val="32"/>
          <w:szCs w:val="32"/>
          <w:highlight w:val="none"/>
        </w:rPr>
        <w:t>万元，基本工资、津贴补贴、奖金、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FAFB9B0">
      <w:pPr>
        <w:ind w:firstLine="640" w:firstLineChars="200"/>
        <w:rPr>
          <w:rFonts w:ascii="仿宋" w:hAnsi="仿宋" w:eastAsia="仿宋"/>
          <w:sz w:val="32"/>
          <w:szCs w:val="32"/>
          <w:highlight w:val="none"/>
        </w:rPr>
      </w:pPr>
    </w:p>
    <w:p w14:paraId="1C749C52">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14.99</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、差旅费、会议费、工会经费、公务用车运行维护费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4D4E5B4C">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6</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288791B4">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6</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5</w:t>
      </w:r>
      <w:r>
        <w:rPr>
          <w:rFonts w:hint="eastAsia" w:ascii="仿宋" w:hAnsi="仿宋" w:eastAsia="仿宋"/>
          <w:kern w:val="0"/>
          <w:sz w:val="32"/>
          <w:szCs w:val="32"/>
          <w:highlight w:val="none"/>
        </w:rPr>
        <w:t>万元。其中：</w:t>
      </w:r>
    </w:p>
    <w:p w14:paraId="4FFDC348">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年预算数相同。</w:t>
      </w:r>
    </w:p>
    <w:p w14:paraId="7F394A2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2124F3BA">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年预算数减</w:t>
      </w:r>
    </w:p>
    <w:p w14:paraId="0776B7F0">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少</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万元。其中，公务用车运行维护费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val="en-US" w:eastAsia="zh-CN"/>
        </w:rPr>
        <w:t>减</w:t>
      </w:r>
      <w:bookmarkStart w:id="0" w:name="_GoBack"/>
      <w:bookmarkEnd w:id="0"/>
      <w:r>
        <w:rPr>
          <w:rFonts w:hint="eastAsia" w:ascii="仿宋" w:hAnsi="仿宋" w:eastAsia="仿宋"/>
          <w:kern w:val="0"/>
          <w:sz w:val="32"/>
          <w:szCs w:val="32"/>
          <w:highlight w:val="none"/>
          <w:lang w:val="en-US" w:eastAsia="zh-CN"/>
        </w:rPr>
        <w:t>少5</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缩减财政开支</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年预算数相同。</w:t>
      </w:r>
    </w:p>
    <w:p w14:paraId="7CA7F4F6">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7737C392">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83FC099">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2026年国有资本经营预算支出情况</w:t>
      </w:r>
    </w:p>
    <w:p w14:paraId="196B1B72">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1BFFDDC0">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9487C5B">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7428E8AF">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本单位为全额事业单位，无机关运行费用</w:t>
      </w:r>
      <w:r>
        <w:rPr>
          <w:rFonts w:hint="eastAsia" w:ascii="仿宋" w:hAnsi="仿宋" w:eastAsia="仿宋"/>
          <w:sz w:val="32"/>
          <w:szCs w:val="32"/>
          <w:highlight w:val="none"/>
          <w:lang w:eastAsia="zh-CN"/>
        </w:rPr>
        <w:t>。</w:t>
      </w:r>
    </w:p>
    <w:p w14:paraId="7669BD42">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6565962E">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294CB426">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18886135">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56422FE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w:t>
      </w:r>
    </w:p>
    <w:p w14:paraId="2A82D669">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0CDC4F8C">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40.54</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地下水动态监测</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维护生态动态平衡</w:t>
      </w:r>
      <w:r>
        <w:rPr>
          <w:rFonts w:hint="eastAsia" w:ascii="仿宋" w:hAnsi="仿宋" w:eastAsia="仿宋"/>
          <w:sz w:val="32"/>
          <w:szCs w:val="32"/>
          <w:highlight w:val="none"/>
        </w:rPr>
        <w:t>。同时，将预算项目绩效目标进一步细化为绩效指标和指标值（附预算项目绩效目标申报表）。</w:t>
      </w:r>
    </w:p>
    <w:p w14:paraId="1523E3B4">
      <w:pPr>
        <w:jc w:val="center"/>
        <w:rPr>
          <w:rFonts w:ascii="仿宋" w:hAnsi="仿宋" w:eastAsia="仿宋"/>
          <w:sz w:val="32"/>
          <w:szCs w:val="32"/>
          <w:highlight w:val="none"/>
        </w:rPr>
      </w:pPr>
    </w:p>
    <w:p w14:paraId="381E51B7">
      <w:pPr>
        <w:jc w:val="center"/>
        <w:rPr>
          <w:rFonts w:ascii="仿宋" w:hAnsi="仿宋" w:eastAsia="仿宋"/>
          <w:sz w:val="32"/>
          <w:szCs w:val="32"/>
          <w:highlight w:val="none"/>
        </w:rPr>
      </w:pPr>
    </w:p>
    <w:p w14:paraId="1BFA971E">
      <w:pPr>
        <w:jc w:val="center"/>
        <w:rPr>
          <w:rFonts w:ascii="仿宋" w:hAnsi="仿宋" w:eastAsia="仿宋"/>
          <w:sz w:val="32"/>
          <w:szCs w:val="32"/>
          <w:highlight w:val="none"/>
        </w:rPr>
      </w:pPr>
    </w:p>
    <w:p w14:paraId="39EA2C11">
      <w:pPr>
        <w:jc w:val="center"/>
        <w:rPr>
          <w:rFonts w:ascii="仿宋" w:hAnsi="仿宋" w:eastAsia="仿宋"/>
          <w:sz w:val="32"/>
          <w:szCs w:val="32"/>
          <w:highlight w:val="none"/>
        </w:rPr>
      </w:pPr>
    </w:p>
    <w:p w14:paraId="670C13F7">
      <w:pPr>
        <w:jc w:val="center"/>
        <w:rPr>
          <w:rFonts w:ascii="仿宋" w:hAnsi="仿宋" w:eastAsia="仿宋"/>
          <w:sz w:val="32"/>
          <w:szCs w:val="32"/>
          <w:highlight w:val="none"/>
        </w:rPr>
      </w:pPr>
    </w:p>
    <w:p w14:paraId="2D796A28">
      <w:pPr>
        <w:jc w:val="center"/>
        <w:rPr>
          <w:rFonts w:ascii="仿宋" w:hAnsi="仿宋" w:eastAsia="仿宋"/>
          <w:sz w:val="32"/>
          <w:szCs w:val="32"/>
          <w:highlight w:val="none"/>
        </w:rPr>
      </w:pPr>
    </w:p>
    <w:p w14:paraId="688EDD51">
      <w:pPr>
        <w:jc w:val="center"/>
        <w:rPr>
          <w:rFonts w:ascii="仿宋" w:hAnsi="仿宋" w:eastAsia="仿宋"/>
          <w:sz w:val="32"/>
          <w:szCs w:val="32"/>
          <w:highlight w:val="none"/>
        </w:rPr>
      </w:pPr>
    </w:p>
    <w:p w14:paraId="609BF866">
      <w:pPr>
        <w:jc w:val="center"/>
        <w:rPr>
          <w:rFonts w:ascii="仿宋" w:hAnsi="仿宋" w:eastAsia="仿宋"/>
          <w:sz w:val="32"/>
          <w:szCs w:val="32"/>
          <w:highlight w:val="none"/>
        </w:rPr>
      </w:pPr>
    </w:p>
    <w:p w14:paraId="60461F2E">
      <w:pPr>
        <w:jc w:val="center"/>
        <w:rPr>
          <w:rFonts w:ascii="仿宋" w:hAnsi="仿宋" w:eastAsia="仿宋"/>
          <w:sz w:val="32"/>
          <w:szCs w:val="32"/>
          <w:highlight w:val="none"/>
        </w:rPr>
      </w:pPr>
    </w:p>
    <w:p w14:paraId="0BD0E3C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2BB41306">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2A2A214">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526CF2BB">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6869910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64397B2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5B32627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58011D9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6DFFD72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9F247B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CD15C3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E25ED8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4358E49C">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38C2B2F6">
      <w:pPr>
        <w:jc w:val="left"/>
        <w:rPr>
          <w:rFonts w:ascii="仿宋" w:hAnsi="仿宋" w:eastAsia="仿宋"/>
          <w:sz w:val="32"/>
          <w:szCs w:val="32"/>
          <w:highlight w:val="none"/>
        </w:rPr>
      </w:pPr>
    </w:p>
    <w:p w14:paraId="01C47B6A">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4805F51">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DF27A23">
      <w:pPr>
        <w:rPr>
          <w:rFonts w:ascii="仿宋" w:hAnsi="仿宋" w:eastAsia="仿宋"/>
          <w:sz w:val="32"/>
          <w:szCs w:val="32"/>
          <w:highlight w:val="none"/>
        </w:rPr>
      </w:pPr>
    </w:p>
    <w:p w14:paraId="2E5F8D61">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DB17570"/>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234837"/>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30A8008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30260DD"/>
    <w:rsid w:val="442476FC"/>
    <w:rsid w:val="45A34F20"/>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15C3BA9"/>
    <w:rsid w:val="62B666A5"/>
    <w:rsid w:val="62E15FE9"/>
    <w:rsid w:val="65255B39"/>
    <w:rsid w:val="659C7B1A"/>
    <w:rsid w:val="65E847CC"/>
    <w:rsid w:val="67286561"/>
    <w:rsid w:val="691F508E"/>
    <w:rsid w:val="6A340295"/>
    <w:rsid w:val="6A5666B8"/>
    <w:rsid w:val="6C626D3D"/>
    <w:rsid w:val="6DF0400D"/>
    <w:rsid w:val="6E5B22F8"/>
    <w:rsid w:val="6EBE6D14"/>
    <w:rsid w:val="70EF2762"/>
    <w:rsid w:val="71201EF9"/>
    <w:rsid w:val="716F505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2809</Words>
  <Characters>3102</Characters>
  <Lines>19</Lines>
  <Paragraphs>5</Paragraphs>
  <TotalTime>1</TotalTime>
  <ScaleCrop>false</ScaleCrop>
  <LinksUpToDate>false</LinksUpToDate>
  <CharactersWithSpaces>3196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凉凉</cp:lastModifiedBy>
  <dcterms:modified xsi:type="dcterms:W3CDTF">2026-03-12T02:01:48Z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1169C2D6E3D743F6AE963A81B8899C81_13</vt:lpwstr>
  </property>
  <property fmtid="{D5CDD505-2E9C-101B-9397-08002B2CF9AE}" pid="4" name="KSOTemplateDocerSaveRecord">
    <vt:lpwstr>eyJoZGlkIjoiYmNmZDcwZjkxNjQ3YzA5MzA5MThjYzJjYjAzNTA5ZjciLCJ1c2VySWQiOiIzMjA2OTAwMjgifQ==</vt:lpwstr>
  </property>
</Properties>
</file>