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舒兰市人民政府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年财政决算的报告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rPr>
          <w:rFonts w:hint="eastAsia" w:ascii="楷体_GB2312" w:hAnsi="宋体" w:eastAsia="楷体_GB2312"/>
          <w:b w:val="0"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rPr>
          <w:rFonts w:hint="eastAsia" w:ascii="楷体_GB2312" w:eastAsia="楷体_GB2312"/>
          <w:b w:val="0"/>
          <w:bCs w:val="0"/>
          <w:sz w:val="32"/>
          <w:szCs w:val="32"/>
        </w:rPr>
      </w:pPr>
      <w:r>
        <w:rPr>
          <w:rFonts w:hint="eastAsia" w:ascii="楷体_GB2312" w:eastAsia="楷体_GB2312"/>
          <w:b w:val="0"/>
          <w:bCs w:val="0"/>
          <w:sz w:val="32"/>
          <w:szCs w:val="32"/>
        </w:rPr>
        <w:t xml:space="preserve">市财政局局长  </w:t>
      </w:r>
      <w:r>
        <w:rPr>
          <w:rFonts w:hint="eastAsia" w:ascii="楷体_GB2312" w:eastAsia="楷体_GB2312"/>
          <w:b w:val="0"/>
          <w:bCs w:val="0"/>
          <w:sz w:val="32"/>
          <w:szCs w:val="32"/>
          <w:lang w:eastAsia="zh-CN"/>
        </w:rPr>
        <w:t>王冠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rPr>
          <w:rFonts w:hint="eastAsia" w:ascii="楷体_GB2312" w:eastAsia="楷体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主任、各位副主任、各位委员：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受市政府委托，我向本次常委会报告2023年财政决算情况，请审议。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2023年，财政部门认真贯彻落实中央、省财政工作决策部署，按照年初确定的工作目标，强化税费征管，防范化解地方政府债务风险，切实保障“三保”，严肃财经纪律，不断深化财政改革，财政运行基本平稳。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一、一般公共预算收入决算情况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2023年，地方级财政收入39 485万元，完成年度预算安排的122.6%，比上年实际减少6966万元, 下降15%，下降的主要原因是上年耕地开垦费一次性收入缴库影响所致。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其中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税收收入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24 965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万元，完成年度预算安排的10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.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%，比上年同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期增加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12 473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万元，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增长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99.8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%；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非税收入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14 520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万元，完成年度预算安排的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195.1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%，比上年同期减少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19 439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万元，下降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57.2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二、一般公共预算支出决算情况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2023年，一般公共预算支出530 969万元,完成年度预算(包括省专项转移支付，下同) 安排的84.3%,比上年增加74 514万元,增长16.3%。增长的主要原因是今年政府债券项目及抗洪救灾资金拨付较大。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主要支出项目完成情况是：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教育支出67 430万元，完成年度预算安排的93.4%，比上年增加4726万元，增长7.5%。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社会保障和就业支出108 111万元，完成年度预算安排的105.1%，比上年增加10万元，与上年持平。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卫生健康支出40 657万元，完成年度预算安排的119.8%，比上年减少5714万元，下降12.3%。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节能环保支出12 379万元，完成年度预算安排的69.1%，比上年增加2925万元，增长30.9%。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城乡社区支出27 208万元，完成年度预算安排的150.5%，比上年增加11 394万元，增长72.1%。增长的主要原因是征地拆迁及政府应急煤炭采购等项目支出较大。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农林水支出140 673万元，完成年度预算安排的81.4%，比上年增加44 055万元，增长45.6%。增长的主要原因是跨省域调剂土地指标相关支出较大。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灾害防治及应急管理支出13273万元，完成年度预算安排的41.8%，比上年增加11 408万元，增长611.7%。增长的主要原因是灾后重建相关支出较大。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三、一般公共预算收支决算平衡情况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2023年，全市财政收入总计846 826万元。其中，地方级财政收入39 485万元，税收返还收入8460万元，一般性转移支付收入526 101万元，专项转移支付收入90 072万元，区域间转移支付300万元，上年结转收入101 199万元，债券转贷收入71 220万元，调入预算稳定调节基金8722万元，调入资金1267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2023年，全市财政支出总计846 826万元。其中，本级当年支出404 579万元，专项转移支付支出93 807万元，上年结转支出32 583万元，专项上解支出5012万元，调出资金1613万元，债务还本支出29 728万元，安排预算稳定调节基金14 776万元，结转下年支出264 728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2023年，全市财政总收入与总支出相抵后，财政收支为平衡。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需要说明的是：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１、预备费情况。2023年，一般公共预算安排预备费10 000万元，支出10 000万元，主要用于畜禽粪资源化利用项目、政府应急煤炭采购、购置防汛抗旱物资等事项。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２、结转资金情况。2023年，因项目跨年实施需要结转下年继续使用的资金264 728万元，主要包括一般公共服务和公共安全方面支出1787万元，教育、科学、文化和体育方面支出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11 551万元，社会保障、卫生健康方面支出5739万元，节能环保、城乡社区和交通运输方面支出23 133万元，农林水和粮油物资储备等方面支出108 725万元，灾害防治及应急管理方面支出110 590万元，住房保障、商业服务业等方面支出3203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四、基金预算收支决算及平衡情况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2023年，基金预算本级财政收入6983万元，完成年度预算安排的21.2%，比上年减少11 114万元，下降61.4%。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2023年，基金预算财政支出105 411万元，完成年度预算安排的295.9%，比上年增加64 472万元，增长157.5%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，增长的主要原因是政府专项债券项目支出较大。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2023年，基金预算总的平衡情况是：基金预算总收入137 314万元，其中：本级收入6983万元；省一次性补助3312万元；上年结转收入5306万元，调入资金1613万元，债券转贷收入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 xml:space="preserve">120 100万元。基金预算总支出137 314万元，其中：本级支出5500万元；省一次性补助（含债券转贷）支出95 621万元；上年结转支出4290万元；调出资金1267万元；债务还本支出15 300万元；结转下年支出15 336万元。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 xml:space="preserve"> 2023年，全市基金预算财政总收入与总支出相抵后，财政收支为平衡。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2023年，财政工作虽然取得了一些成绩，但在预算执行中，仍然存在一些困难和问题：一是年初支出缺口大，全年财政平衡难度大；二是债务还本付息负担重，财政压力逐年加大；三是财政暂付款规模过大，增加了财政资金调度难度和资金安全风险。同时在审计部门对本级财政预算执行审计过程中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eastAsia="zh-CN"/>
        </w:rPr>
        <w:t>部门预算公开与财政批复情况不一致问题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  <w:t>、支出执行率偏低等问题。上述这些问题需要给予高度重视，并在今后的工作中认真加以解决。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7 -</w:t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</w:rPr>
                      <w:t xml:space="preserve"> 7 -</w:t>
                    </w:r>
                    <w:r>
                      <w:rPr>
                        <w:rFonts w:ascii="宋体" w:hAnsi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50754"/>
    <w:rsid w:val="0FDB3BA6"/>
    <w:rsid w:val="1B823F50"/>
    <w:rsid w:val="37F5051C"/>
    <w:rsid w:val="476E1FF9"/>
    <w:rsid w:val="5D420363"/>
    <w:rsid w:val="5DD5544E"/>
    <w:rsid w:val="6F7D2190"/>
    <w:rsid w:val="723E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Arial" w:hAnsi="Arial"/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2024-11-11T05:23:48Z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