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2BBFC47E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船营区教育局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年政府信息公开工作年度报告</w:t>
      </w:r>
    </w:p>
    <w:p w14:paraId="140DCD3C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56A549E9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根据《中华人民共和国政府信息公开条例》规定，现公布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吉林市船营区教育局2025年政府信息公开工作年度报告（以下简称《年报》）。本年报由总体情况、主动公开政府信息情况、收到和处理政府信息公开申请的情况、因政府信息公开工作被申请行政复议及提起行政诉讼的情况、政府信息公开工作存在的主要问题及改进情况、其他需要报告的事项等六部分组成。报告中所列数据的统计时限为2025年1月1日起至2025年12月31日止。本年报通过吉林市船营区人民政府网站——政府信息公开专栏向社会公开（网址：http://www.jlcy.gov.cn/）。欢迎社会各界进行监督、提出意见，欢迎广大机关、企事业单位、科研院所和人民群众参阅使用。如对本年报有疑问、意见和建议，请联系船营区教育局办公室，地址：吉林市船营区松江中路87号；邮编：132011；电话：0432－64831204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"mailto:%E7%94%B5%E5%AD%90%E9%82%AE%E7%AE%B1jlzwgk@jl.gov.cn"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电子邮箱：cyqjyj@163.com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bookmarkStart w:id="0" w:name="_Hlt288045573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513C7392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56E01D09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2025年，船营区教育局紧紧围绕保障人民群众的知情权、参与权和监督权，切实按照依法行政、全面真实、及时便民的原则，不断深化、拓展政府信息公开工作，有力地促进了全区教育工作提速增效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E8DCED7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（一）组织推动全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区</w:t>
      </w:r>
      <w:r>
        <w:rPr>
          <w:rFonts w:hint="eastAsia" w:ascii="楷体" w:hAnsi="楷体" w:eastAsia="楷体" w:cs="楷体"/>
          <w:sz w:val="24"/>
          <w:szCs w:val="24"/>
        </w:rPr>
        <w:t>政府信息公开工作。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区教育局对政府信息公开工作高度重视，成立局政府信息公开工作专班</w:t>
      </w:r>
      <w:bookmarkStart w:id="1" w:name="_GoBack"/>
      <w:bookmarkEnd w:id="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，明确分管领导主抓工作，局办公室具体汇总协调，各相关科室主要负责人具体承担报送信息任务，并落实专人负责信息公开报送，确保政府信息公开工作运行正常。</w:t>
      </w:r>
    </w:p>
    <w:p w14:paraId="4A766F86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（二）积极推动政府信息主动公开。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《条例》要求，结合教育系统工作实际，对政府信息公开范围、程序、时限等进行明确要求。在公开工作中，坚持做到按制度公开、按要求公开、按程序公开、按时效公开，让干部、群众享有知情权、监督权，使信息公开工作走上规范化、制度化、法制化的轨道。</w:t>
      </w:r>
    </w:p>
    <w:p w14:paraId="16753F76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（三）认真规范处理依申请公开。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教育局严格规范公开程序，公开内容需由负责科室呈报主管领导审核，并请示主要领导同意后才能公开。除主动公开的内容外，公众申请公开的内容，则由主要领导牵头，由主管领导和相关科室组成工作组，研究申请公开的内容，形成依申请公开意见后向相关部门及主管区长汇报，切实履行依申请公开程序，填写申请公开表，等相关部门批准后方可公开。2025年，我局政务公开内容没有涉及申请公开内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CB6CF47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（四）不断强化政府信息公开平台内容保障。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教育局指定专门人员负责政务公开工作，定期查看政府信息公开网和市教育局办公管理系统，及时查收上级部门文件通知，了解工作动态，及时完成相关指定工作。及时更新区教育系统政务公开信息，对涉及重要领导职务变动、科室职能调整及重大事项等内容，及时完成上传更新工作，保证社会各界对教育工作的监督及查阅。</w:t>
      </w:r>
    </w:p>
    <w:p w14:paraId="765D4528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（五）全力做好宣传培训评估考核等基础工作。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参加政务公开相关培训，学习政府信息公开专栏升级维护和第三方评估的注意事项，为加强教育局政务信息公开工作奠定了扎实基础。</w:t>
      </w:r>
    </w:p>
    <w:p w14:paraId="59DBBF29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473EF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002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7F17A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1D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F0F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EA0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567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214D5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A35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0BE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391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4E32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FBCC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9B4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766E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21F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067B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0073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673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254C7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191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038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0E63B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34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49D8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DA8E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C7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405E4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961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4F9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474AE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585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7D4F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D35D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6B1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82E3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9D2C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0D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3FEFF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A91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17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F3C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802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820E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587112F7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48F63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35" w:type="dxa"/>
            <w:gridSpan w:val="3"/>
            <w:vMerge w:val="restart"/>
            <w:vAlign w:val="center"/>
          </w:tcPr>
          <w:p w14:paraId="05E5B5E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09" w:type="dxa"/>
            <w:gridSpan w:val="7"/>
            <w:vAlign w:val="center"/>
          </w:tcPr>
          <w:p w14:paraId="7E8838E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10B41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35" w:type="dxa"/>
            <w:gridSpan w:val="3"/>
            <w:vMerge w:val="continue"/>
          </w:tcPr>
          <w:p w14:paraId="62296B0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vAlign w:val="center"/>
          </w:tcPr>
          <w:p w14:paraId="58CF8B9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89" w:type="dxa"/>
            <w:gridSpan w:val="5"/>
            <w:vAlign w:val="center"/>
          </w:tcPr>
          <w:p w14:paraId="3E282EA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3" w:type="dxa"/>
            <w:vMerge w:val="restart"/>
            <w:vAlign w:val="center"/>
          </w:tcPr>
          <w:p w14:paraId="598F542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A54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5" w:type="dxa"/>
            <w:gridSpan w:val="3"/>
            <w:vMerge w:val="continue"/>
          </w:tcPr>
          <w:p w14:paraId="542C2D1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</w:tcPr>
          <w:p w14:paraId="6AF35E4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6C84832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31" w:type="dxa"/>
            <w:vAlign w:val="center"/>
          </w:tcPr>
          <w:p w14:paraId="4AAF2A90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9" w:type="dxa"/>
            <w:vAlign w:val="center"/>
          </w:tcPr>
          <w:p w14:paraId="4D4A16A1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4" w:type="dxa"/>
            <w:vAlign w:val="center"/>
          </w:tcPr>
          <w:p w14:paraId="65E1ECE9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7" w:type="dxa"/>
            <w:vAlign w:val="center"/>
          </w:tcPr>
          <w:p w14:paraId="1212A80E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3" w:type="dxa"/>
            <w:vMerge w:val="continue"/>
          </w:tcPr>
          <w:p w14:paraId="7E68FF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000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35" w:type="dxa"/>
            <w:gridSpan w:val="3"/>
            <w:vAlign w:val="center"/>
          </w:tcPr>
          <w:p w14:paraId="23C0C42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7" w:type="dxa"/>
          </w:tcPr>
          <w:p w14:paraId="03FE759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5482E02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06BFD27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C24854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536BD77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52A1BB9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54AFA8C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EF5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35" w:type="dxa"/>
            <w:gridSpan w:val="3"/>
            <w:vAlign w:val="center"/>
          </w:tcPr>
          <w:p w14:paraId="1F3E880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7" w:type="dxa"/>
          </w:tcPr>
          <w:p w14:paraId="4F66754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2AC3436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279E9BE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88F617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7632846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650F957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48FD9AB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E51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5" w:type="dxa"/>
            <w:vMerge w:val="restart"/>
            <w:vAlign w:val="center"/>
          </w:tcPr>
          <w:p w14:paraId="222C0F07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5F026D1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E5E3A5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DF372E2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620B1F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CBA8A6B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0A71D28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D14CFC2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F13B47A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48EB4A1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0DC5C5E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DFF4BB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350A274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D4CA40D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80" w:type="dxa"/>
            <w:gridSpan w:val="2"/>
            <w:vAlign w:val="center"/>
          </w:tcPr>
          <w:p w14:paraId="1ABC9D2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7" w:type="dxa"/>
          </w:tcPr>
          <w:p w14:paraId="78CF4C9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6F13089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0C727B1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DA032B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4038C14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763DC60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23B5341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3DB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13C29C2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7BEF096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7" w:type="dxa"/>
          </w:tcPr>
          <w:p w14:paraId="1515F51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4BA255B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78D2947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8B2809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05F0DFA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2AF34D4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01BF680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BC2D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5" w:type="dxa"/>
            <w:vMerge w:val="continue"/>
          </w:tcPr>
          <w:p w14:paraId="3F61676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199D698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62" w:type="dxa"/>
            <w:vAlign w:val="center"/>
          </w:tcPr>
          <w:p w14:paraId="0CB28D6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7" w:type="dxa"/>
          </w:tcPr>
          <w:p w14:paraId="0D7D457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5EA601E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7F6F4E6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8BFAD2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7E9249B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4816C11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6FC3776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46D8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105CF02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17A1B37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09E5C94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7" w:type="dxa"/>
          </w:tcPr>
          <w:p w14:paraId="06CAB14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115793A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77263BF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46D130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64668BD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7E67BD4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60F8592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0E5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 w14:paraId="1CEC1BB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7C83236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46EF519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7" w:type="dxa"/>
          </w:tcPr>
          <w:p w14:paraId="10EE985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1D1688F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330AFFA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E064EF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58BA337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15858F9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4E55802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0C8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 w14:paraId="7480192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236906E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247CDB9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7" w:type="dxa"/>
          </w:tcPr>
          <w:p w14:paraId="346BBA2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4EF5014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7E1A72E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77BE01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5E3EA45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6F74F74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622CCB4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9E3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5" w:type="dxa"/>
            <w:vMerge w:val="continue"/>
          </w:tcPr>
          <w:p w14:paraId="3849B10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3C205CE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732F03A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7" w:type="dxa"/>
          </w:tcPr>
          <w:p w14:paraId="0B61541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2CE8631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140E293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E1C3E1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370EBA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44B0A1A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58188D1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41D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5" w:type="dxa"/>
            <w:vMerge w:val="continue"/>
          </w:tcPr>
          <w:p w14:paraId="12758D7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5F3FFE3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194B11F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7" w:type="dxa"/>
          </w:tcPr>
          <w:p w14:paraId="1E23241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49CEEC2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6601177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9E776F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7BE96A3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52E86B6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7237FCD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A35A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5" w:type="dxa"/>
            <w:vMerge w:val="continue"/>
          </w:tcPr>
          <w:p w14:paraId="4CC3C32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4D48FDA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14BBD3B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7" w:type="dxa"/>
          </w:tcPr>
          <w:p w14:paraId="150FCC1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42048F3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7E5FE2C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29C0E2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5756D5C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15AC683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6771008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99C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5" w:type="dxa"/>
            <w:vMerge w:val="continue"/>
          </w:tcPr>
          <w:p w14:paraId="63FB3F3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55A31EE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00F0084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7" w:type="dxa"/>
          </w:tcPr>
          <w:p w14:paraId="3ED772E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5E5AE4E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16DA15A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296297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428BBA4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7E9FE1E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097B9DE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CB0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557F980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2F3CC64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62" w:type="dxa"/>
            <w:vAlign w:val="center"/>
          </w:tcPr>
          <w:p w14:paraId="53E60F8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7" w:type="dxa"/>
          </w:tcPr>
          <w:p w14:paraId="050E23B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31046C9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10F74DC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3B58F7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62D8EE8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40CCA36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259CD39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26F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419F216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1CCFF70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549BF83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7" w:type="dxa"/>
          </w:tcPr>
          <w:p w14:paraId="0555D45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4EA43B3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53785E9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0E6C3C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1F31181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7BDFA59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0F59911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ABC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5" w:type="dxa"/>
            <w:vMerge w:val="continue"/>
          </w:tcPr>
          <w:p w14:paraId="2DFC922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0A3F8F3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15CCF2A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7" w:type="dxa"/>
          </w:tcPr>
          <w:p w14:paraId="5549B55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753AF79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4983CBF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6C0CD3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59F2F22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42E81FD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2BC2DBE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662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 w14:paraId="70BE86E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71E7E88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62" w:type="dxa"/>
            <w:vAlign w:val="center"/>
          </w:tcPr>
          <w:p w14:paraId="675B84B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7" w:type="dxa"/>
          </w:tcPr>
          <w:p w14:paraId="0ED7543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4740F31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05C9232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4A490F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033B110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046DC5C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362ED9E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7BE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5" w:type="dxa"/>
            <w:vMerge w:val="continue"/>
          </w:tcPr>
          <w:p w14:paraId="1303B93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74CD55C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2BE922D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7" w:type="dxa"/>
          </w:tcPr>
          <w:p w14:paraId="64B268D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77138B1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675FB0C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0A087C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34BB9DF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240D21C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5231E20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726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5" w:type="dxa"/>
            <w:vMerge w:val="continue"/>
          </w:tcPr>
          <w:p w14:paraId="0CD9FBB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25B8064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72DC0D6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7" w:type="dxa"/>
          </w:tcPr>
          <w:p w14:paraId="1DDD843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4B8E3BE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3B0B4D9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0A117D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5C62A9E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2D6DC00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1B8371F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1299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5" w:type="dxa"/>
            <w:vMerge w:val="continue"/>
          </w:tcPr>
          <w:p w14:paraId="1E78960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10443E1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0F9ABE3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7" w:type="dxa"/>
          </w:tcPr>
          <w:p w14:paraId="44CDB3E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7EC14A2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19CBDBD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5F9180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5BF6624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40E8E48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2816E7B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B89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6418A3A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08770F0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1CD0FFE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7" w:type="dxa"/>
          </w:tcPr>
          <w:p w14:paraId="46AE290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09B7B07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595344E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6C2E42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25D03D7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62BE534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4AAF4DA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9C15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6D6239E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1D467F9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62" w:type="dxa"/>
            <w:vAlign w:val="center"/>
          </w:tcPr>
          <w:p w14:paraId="4DC5927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7" w:type="dxa"/>
          </w:tcPr>
          <w:p w14:paraId="0D1F42E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26E7936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478D6A6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199C74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7FFF292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26894C4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79F3E00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D29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5272AA3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07F1D3B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1885637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</w:tcPr>
          <w:p w14:paraId="50372DF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6FE7BB7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5A10EE3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9618C4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3E8EAD8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455687A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44D555F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B5C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5" w:type="dxa"/>
            <w:vMerge w:val="continue"/>
          </w:tcPr>
          <w:p w14:paraId="42C3090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1A88DB5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280EDBF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7" w:type="dxa"/>
          </w:tcPr>
          <w:p w14:paraId="04F7190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5670C4B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5302F10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1AD166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39EC180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0F29903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589E0CE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44F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5" w:type="dxa"/>
            <w:vMerge w:val="continue"/>
          </w:tcPr>
          <w:p w14:paraId="1AD3755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0D8E861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7" w:type="dxa"/>
          </w:tcPr>
          <w:p w14:paraId="4C468E9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62DACEA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3F3CF2D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7AD28E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092D245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4AC4EA8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7A576EE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BA4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35" w:type="dxa"/>
            <w:gridSpan w:val="3"/>
            <w:vAlign w:val="center"/>
          </w:tcPr>
          <w:p w14:paraId="1F21282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7" w:type="dxa"/>
          </w:tcPr>
          <w:p w14:paraId="6F8655E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7BC3334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14:paraId="5E1A15B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17494C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14:paraId="398A9BF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</w:tcPr>
          <w:p w14:paraId="0CA9FD3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</w:tcPr>
          <w:p w14:paraId="5DD5C67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 w14:paraId="4A381295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246E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9F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CD5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 w14:paraId="6C9BB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D7EE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1E0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FC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5F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D6A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DD7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F35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 w14:paraId="776AA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7E4C6F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0ACA6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CDF98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48F91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CEC9E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A3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5E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6D0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07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48F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74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149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2F5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BB3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F54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14:paraId="75095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5BF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B4A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178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B2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81A8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BE0C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BAA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B4B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D86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B35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8643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362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FD8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585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989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1839AE98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4C99AB27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年政府信息公开工作存在的主要问题和不足之处是政府信息发布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虽然</w:t>
      </w:r>
      <w:r>
        <w:rPr>
          <w:rFonts w:hint="eastAsia" w:ascii="宋体" w:hAnsi="宋体" w:eastAsia="宋体" w:cs="宋体"/>
          <w:sz w:val="24"/>
          <w:szCs w:val="24"/>
        </w:rPr>
        <w:t>达到了上级规定的目标，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但是</w:t>
      </w:r>
      <w:r>
        <w:rPr>
          <w:rFonts w:hint="eastAsia" w:ascii="宋体" w:hAnsi="宋体" w:eastAsia="宋体" w:cs="宋体"/>
          <w:sz w:val="24"/>
          <w:szCs w:val="24"/>
        </w:rPr>
        <w:t>信息稿件质量有待进一步提高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。同时将</w:t>
      </w:r>
      <w:r>
        <w:rPr>
          <w:rFonts w:hint="eastAsia" w:ascii="宋体" w:hAnsi="宋体" w:eastAsia="宋体" w:cs="宋体"/>
          <w:sz w:val="24"/>
          <w:szCs w:val="24"/>
        </w:rPr>
        <w:t>进一步加强与各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科</w:t>
      </w:r>
      <w:r>
        <w:rPr>
          <w:rFonts w:hint="eastAsia" w:ascii="宋体" w:hAnsi="宋体" w:eastAsia="宋体" w:cs="宋体"/>
          <w:sz w:val="24"/>
          <w:szCs w:val="24"/>
        </w:rPr>
        <w:t>室间的沟通协调，确保畅通公开渠道，服务群众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1A9F80E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572EC3E2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没有其他需要报告的事项。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552165B1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6766BBF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DYwZjA3Yjg4NmE3ODU5ODU5ZDM3ODY0YWYxMmI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44258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5066EA2"/>
    <w:rsid w:val="06A434A5"/>
    <w:rsid w:val="0AC4028D"/>
    <w:rsid w:val="0B924A77"/>
    <w:rsid w:val="0D1C7438"/>
    <w:rsid w:val="0D9A07CB"/>
    <w:rsid w:val="0EF95E3E"/>
    <w:rsid w:val="0F841BAC"/>
    <w:rsid w:val="0FFF2C05"/>
    <w:rsid w:val="101A7A9C"/>
    <w:rsid w:val="10D94ED9"/>
    <w:rsid w:val="117F0C60"/>
    <w:rsid w:val="12AB7BEB"/>
    <w:rsid w:val="13916BB7"/>
    <w:rsid w:val="16F67B0A"/>
    <w:rsid w:val="18DE0B8B"/>
    <w:rsid w:val="1BF24C7D"/>
    <w:rsid w:val="1D326A70"/>
    <w:rsid w:val="1EF47C7F"/>
    <w:rsid w:val="1F4E26E0"/>
    <w:rsid w:val="21463587"/>
    <w:rsid w:val="243F343F"/>
    <w:rsid w:val="28975D5D"/>
    <w:rsid w:val="28B975DD"/>
    <w:rsid w:val="2AFE7BEA"/>
    <w:rsid w:val="2B25609B"/>
    <w:rsid w:val="2BC71311"/>
    <w:rsid w:val="2F1232C3"/>
    <w:rsid w:val="2F560859"/>
    <w:rsid w:val="2F56299D"/>
    <w:rsid w:val="31C902D1"/>
    <w:rsid w:val="345E7490"/>
    <w:rsid w:val="34707FB0"/>
    <w:rsid w:val="36781544"/>
    <w:rsid w:val="371D10E5"/>
    <w:rsid w:val="38FD2077"/>
    <w:rsid w:val="393E5745"/>
    <w:rsid w:val="3B281EB3"/>
    <w:rsid w:val="3B291E3A"/>
    <w:rsid w:val="3BA453BA"/>
    <w:rsid w:val="3E620C74"/>
    <w:rsid w:val="3ED76D58"/>
    <w:rsid w:val="400E44FB"/>
    <w:rsid w:val="41D16C02"/>
    <w:rsid w:val="450C3AC5"/>
    <w:rsid w:val="45333C19"/>
    <w:rsid w:val="45801017"/>
    <w:rsid w:val="49181DCF"/>
    <w:rsid w:val="492A6A34"/>
    <w:rsid w:val="4A02676F"/>
    <w:rsid w:val="4BCC7E94"/>
    <w:rsid w:val="4D5301FB"/>
    <w:rsid w:val="4ED123EF"/>
    <w:rsid w:val="4FAE66AC"/>
    <w:rsid w:val="506B3CA9"/>
    <w:rsid w:val="51D907C9"/>
    <w:rsid w:val="524F43BC"/>
    <w:rsid w:val="532A236B"/>
    <w:rsid w:val="56B07488"/>
    <w:rsid w:val="592605B1"/>
    <w:rsid w:val="59CF4E9D"/>
    <w:rsid w:val="5B51267D"/>
    <w:rsid w:val="5C760D5E"/>
    <w:rsid w:val="608B5AEC"/>
    <w:rsid w:val="60C72177"/>
    <w:rsid w:val="61382CF4"/>
    <w:rsid w:val="663C01D2"/>
    <w:rsid w:val="669B2BD8"/>
    <w:rsid w:val="66EF5667"/>
    <w:rsid w:val="67B130AA"/>
    <w:rsid w:val="682869D5"/>
    <w:rsid w:val="68EE3DB7"/>
    <w:rsid w:val="69895E31"/>
    <w:rsid w:val="69912B2A"/>
    <w:rsid w:val="6DA66DF4"/>
    <w:rsid w:val="6F0E25FB"/>
    <w:rsid w:val="6F9D3BB3"/>
    <w:rsid w:val="6FB026B2"/>
    <w:rsid w:val="70900DB0"/>
    <w:rsid w:val="70E7254E"/>
    <w:rsid w:val="71917722"/>
    <w:rsid w:val="72117322"/>
    <w:rsid w:val="72544ACF"/>
    <w:rsid w:val="72B0307D"/>
    <w:rsid w:val="72F22421"/>
    <w:rsid w:val="739A1583"/>
    <w:rsid w:val="74484734"/>
    <w:rsid w:val="774B1F49"/>
    <w:rsid w:val="792539DA"/>
    <w:rsid w:val="79F53FD4"/>
    <w:rsid w:val="7C805C6D"/>
    <w:rsid w:val="7D5102A0"/>
    <w:rsid w:val="7E64371D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1957</Words>
  <Characters>2050</Characters>
  <Lines>10</Lines>
  <Paragraphs>2</Paragraphs>
  <TotalTime>8</TotalTime>
  <ScaleCrop>false</ScaleCrop>
  <LinksUpToDate>false</LinksUpToDate>
  <CharactersWithSpaces>2050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WPS_1508839301</cp:lastModifiedBy>
  <cp:lastPrinted>2021-01-14T07:20:00Z</cp:lastPrinted>
  <dcterms:modified xsi:type="dcterms:W3CDTF">2025-12-31T01:19:14Z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7653CB54A5F44A7AAAAA8260913061E5_13</vt:lpwstr>
  </property>
  <property fmtid="{D5CDD505-2E9C-101B-9397-08002B2CF9AE}" pid="4" name="KSOTemplateDocerSaveRecord">
    <vt:lpwstr>eyJoZGlkIjoiMzUxMDYwOWQ1NmFiOTIzNTA3ZDBjZGJiYTI4MjU2YWEiLCJ1c2VySWQiOiIzMTYzMjM3NjIifQ==</vt:lpwstr>
  </property>
</Properties>
</file>