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宋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rPr>
        <w:t>船营区司法局</w:t>
      </w:r>
    </w:p>
    <w:p>
      <w:pPr>
        <w:spacing w:line="0" w:lineRule="atLeast"/>
        <w:jc w:val="center"/>
        <w:rPr>
          <w:rFonts w:hint="eastAsia" w:ascii="方正小标宋简体" w:hAnsi="宋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rPr>
        <w:t>202</w:t>
      </w:r>
      <w:r>
        <w:rPr>
          <w:rFonts w:hint="eastAsia" w:ascii="方正小标宋简体" w:hAnsi="宋体" w:eastAsia="方正小标宋简体" w:cs="宋体"/>
          <w:b/>
          <w:bCs/>
          <w:color w:val="333333"/>
          <w:kern w:val="0"/>
          <w:sz w:val="44"/>
          <w:szCs w:val="44"/>
          <w:lang w:val="en-US" w:eastAsia="zh-CN"/>
        </w:rPr>
        <w:t>2</w:t>
      </w:r>
      <w:r>
        <w:rPr>
          <w:rFonts w:hint="eastAsia" w:ascii="方正小标宋简体" w:hAnsi="宋体" w:eastAsia="方正小标宋简体" w:cs="宋体"/>
          <w:b/>
          <w:bCs/>
          <w:color w:val="333333"/>
          <w:kern w:val="0"/>
          <w:sz w:val="44"/>
          <w:szCs w:val="44"/>
        </w:rPr>
        <w:t>年政府信息公开工作年度报告</w:t>
      </w:r>
    </w:p>
    <w:p>
      <w:pPr>
        <w:spacing w:beforeLines="50" w:afterLines="5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（202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日）</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根据《中华人民共和国政府信息公开条例》（以下简称《条例》）和《吉林省人民政府办公厅关于做好政府信息公开工作年度报告编制发布有关事项的通知》，我局编制了吉林市船营区司法局202</w:t>
      </w:r>
      <w:r>
        <w:rPr>
          <w:rFonts w:hint="eastAsia" w:asciiTheme="minorEastAsia" w:hAnsiTheme="minorEastAsia" w:eastAsiaTheme="minorEastAsia"/>
          <w:sz w:val="24"/>
          <w:lang w:val="en-US" w:eastAsia="zh-CN"/>
        </w:rPr>
        <w:t>2</w:t>
      </w:r>
      <w:bookmarkStart w:id="0" w:name="_GoBack"/>
      <w:bookmarkEnd w:id="0"/>
      <w:r>
        <w:rPr>
          <w:rFonts w:hint="eastAsia" w:asciiTheme="minorEastAsia" w:hAnsiTheme="minorEastAsia" w:eastAsiaTheme="minorEastAsia"/>
          <w:sz w:val="24"/>
        </w:rPr>
        <w:t>年政府信息公开工作年度报告（以下简称《年报》），报告由总体情况、主动公开政府信息情况、收到和处理政府信息公开申请情况、政府信息公开行政复议、政府信息公开行政复议、行政诉讼情况、存在的主要问题及改进情况、其他需要报告的事项等六个部分组成。本报告中所列政府信息公开数据的统计期限自202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年1月1日起至202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12月31日止。本年报通过吉林市船营区人民政府网站——政府信息公开专栏向社会公开（网址：http://www.jlcy.gov.cn/）。欢迎社会各界进行监督、提出意见，欢迎广大机关、企事业单位、科研院所和人民群众参阅使用。如对本年报有疑问、意见和建议，请联系吉林市船营区司法局，地址：吉林市松江中路87号，邮编：132011，电话：0432-64831127，邮箱：</w:t>
      </w:r>
      <w:r>
        <w:fldChar w:fldCharType="begin"/>
      </w:r>
      <w:r>
        <w:instrText xml:space="preserve"> HYPERLINK "mailto:sifaju4831127@sina.com" </w:instrText>
      </w:r>
      <w:r>
        <w:fldChar w:fldCharType="separate"/>
      </w:r>
      <w:r>
        <w:rPr>
          <w:rStyle w:val="4"/>
          <w:rFonts w:hint="eastAsia" w:asciiTheme="minorEastAsia" w:hAnsiTheme="minorEastAsia" w:eastAsiaTheme="minorEastAsia"/>
          <w:sz w:val="24"/>
        </w:rPr>
        <w:t>sifaju4831127@sina.com</w:t>
      </w:r>
      <w:r>
        <w:rPr>
          <w:rStyle w:val="4"/>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400" w:lineRule="exact"/>
        <w:ind w:firstLine="482" w:firstLineChars="200"/>
        <w:rPr>
          <w:rFonts w:hint="eastAsia" w:asciiTheme="majorEastAsia" w:hAnsiTheme="majorEastAsia" w:eastAsiaTheme="majorEastAsia"/>
          <w:b/>
          <w:sz w:val="24"/>
        </w:rPr>
      </w:pPr>
      <w:r>
        <w:rPr>
          <w:rFonts w:hint="eastAsia" w:asciiTheme="majorEastAsia" w:hAnsiTheme="majorEastAsia" w:eastAsiaTheme="majorEastAsia"/>
          <w:b/>
          <w:sz w:val="24"/>
        </w:rPr>
        <w:t>一、总体情况</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年区司法局紧紧围绕区委、区政府决策部署，把政府信息公开工作作为密切联系群众，转变工作作风，促进工作落实的重要举措，及时主动向社会公开司法行政有关政策和措施，信息公开年度各项工作有序推进。</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贯彻落实《条例》要求，由综合办公室负责人主要负责政府信息公开工作，严格落实政府信息公开工作责任制，遵守《司法局信息公开工作制度》，进一步严格政务公开审批程序，公开内容需填报《船营区司法局政务公开报告审批表》，并经由分管领导、主管领导审批签字后，再行上传。进一步完善充实政府公开栏目，及时将有关信息在网上公示。</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（二）拓展信息公开渠道，主动公开政府信息。根据权责清单，及时更新政府信息公开指南和完善了公开目录。全年政府网站上主动公开政务信息数量8条。</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加强政府信息管理，提高政务公开。区司法局进一步细化主动公开工作流程，规范了政府信息公开各环节及程序，完善信息公开协调机制和发布机制，使政府信息的管理更加规范。同时，加强区司法局自行维护的专栏的日常维护，做到了更新信息的时效性。</w:t>
      </w:r>
    </w:p>
    <w:p>
      <w:pPr>
        <w:spacing w:line="400" w:lineRule="exact"/>
        <w:ind w:firstLine="480" w:firstLineChars="200"/>
        <w:rPr>
          <w:rFonts w:hint="eastAsia" w:asciiTheme="minorEastAsia" w:hAnsiTheme="minorEastAsia" w:eastAsiaTheme="minorEastAsia"/>
          <w:sz w:val="24"/>
        </w:rPr>
      </w:pPr>
    </w:p>
    <w:p>
      <w:pPr>
        <w:spacing w:line="400" w:lineRule="exact"/>
        <w:ind w:firstLine="482" w:firstLineChars="200"/>
        <w:rPr>
          <w:rFonts w:hint="eastAsia" w:ascii="宋体" w:hAnsi="宋体" w:cs="宋体"/>
          <w:b/>
          <w:bCs/>
          <w:sz w:val="24"/>
        </w:rPr>
      </w:pPr>
    </w:p>
    <w:p>
      <w:pPr>
        <w:spacing w:line="400" w:lineRule="exact"/>
        <w:ind w:firstLine="482" w:firstLineChars="200"/>
        <w:rPr>
          <w:rFonts w:ascii="宋体" w:hAnsi="宋体" w:cs="宋体"/>
          <w:b/>
          <w:bCs/>
          <w:sz w:val="24"/>
        </w:rPr>
      </w:pPr>
      <w:r>
        <w:rPr>
          <w:rFonts w:hint="eastAsia" w:ascii="宋体" w:hAnsi="宋体" w:cs="宋体"/>
          <w:b/>
          <w:bCs/>
          <w:sz w:val="24"/>
        </w:rPr>
        <w:t>二、主动公开政府信息情况</w:t>
      </w:r>
    </w:p>
    <w:tbl>
      <w:tblPr>
        <w:tblStyle w:val="2"/>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bl>
    <w:p>
      <w:pPr>
        <w:spacing w:line="400" w:lineRule="exact"/>
        <w:ind w:firstLine="480" w:firstLineChars="200"/>
        <w:rPr>
          <w:rFonts w:hint="eastAsia" w:asciiTheme="minorEastAsia" w:hAnsiTheme="minorEastAsia" w:eastAsiaTheme="minorEastAsia"/>
          <w:sz w:val="24"/>
        </w:rPr>
      </w:pPr>
    </w:p>
    <w:p>
      <w:pPr>
        <w:spacing w:line="400" w:lineRule="exact"/>
        <w:ind w:firstLine="480" w:firstLineChars="200"/>
        <w:rPr>
          <w:rFonts w:hint="eastAsia" w:asciiTheme="minorEastAsia" w:hAnsiTheme="minorEastAsia" w:eastAsiaTheme="minorEastAsia"/>
          <w:sz w:val="24"/>
        </w:rPr>
      </w:pPr>
    </w:p>
    <w:p>
      <w:pPr>
        <w:spacing w:line="400" w:lineRule="exact"/>
        <w:ind w:firstLine="480" w:firstLineChars="200"/>
        <w:rPr>
          <w:rFonts w:hint="eastAsia" w:asciiTheme="minorEastAsia" w:hAnsiTheme="minorEastAsia" w:eastAsiaTheme="minorEastAsia"/>
          <w:sz w:val="24"/>
        </w:rPr>
      </w:pPr>
    </w:p>
    <w:p>
      <w:pPr>
        <w:numPr>
          <w:ilvl w:val="0"/>
          <w:numId w:val="1"/>
        </w:numPr>
        <w:ind w:firstLine="482" w:firstLineChars="200"/>
        <w:rPr>
          <w:rFonts w:ascii="宋体" w:hAnsi="宋体" w:cs="宋体"/>
          <w:b/>
          <w:bCs/>
          <w:sz w:val="24"/>
        </w:rPr>
      </w:pPr>
      <w:r>
        <w:rPr>
          <w:rFonts w:hint="eastAsia" w:ascii="宋体" w:hAnsi="宋体" w:cs="宋体"/>
          <w:b/>
          <w:bCs/>
          <w:sz w:val="24"/>
        </w:rPr>
        <w:t>收到和处理政府信息公开申请情况</w:t>
      </w:r>
    </w:p>
    <w:tbl>
      <w:tblPr>
        <w:tblStyle w:val="2"/>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自</w:t>
            </w:r>
          </w:p>
          <w:p>
            <w:pPr>
              <w:widowControl/>
              <w:jc w:val="center"/>
              <w:rPr>
                <w:rFonts w:ascii="宋体" w:hAnsi="宋体" w:cs="宋体"/>
                <w:kern w:val="0"/>
                <w:sz w:val="20"/>
                <w:szCs w:val="20"/>
              </w:rPr>
            </w:pPr>
            <w:r>
              <w:rPr>
                <w:rFonts w:hint="eastAsia" w:ascii="宋体" w:hAnsi="宋体" w:cs="宋体"/>
                <w:kern w:val="0"/>
                <w:sz w:val="20"/>
                <w:szCs w:val="20"/>
              </w:rPr>
              <w:t>然</w:t>
            </w:r>
          </w:p>
          <w:p>
            <w:pPr>
              <w:widowControl/>
              <w:jc w:val="center"/>
              <w:rPr>
                <w:rFonts w:ascii="宋体" w:hAnsi="宋体" w:cs="宋体"/>
                <w:kern w:val="0"/>
                <w:sz w:val="24"/>
              </w:rPr>
            </w:pPr>
            <w:r>
              <w:rPr>
                <w:rFonts w:hint="eastAsia" w:ascii="宋体" w:hAnsi="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r>
              <w:rPr>
                <w:rFonts w:hint="eastAsia" w:ascii="宋体" w:hAnsi="宋体" w:cs="宋体"/>
                <w:kern w:val="0"/>
                <w:sz w:val="20"/>
                <w:szCs w:val="20"/>
              </w:rPr>
              <w:t>三、</w:t>
            </w:r>
          </w:p>
          <w:p>
            <w:pPr>
              <w:widowControl/>
              <w:rPr>
                <w:rFonts w:ascii="宋体" w:hAnsi="宋体" w:cs="宋体"/>
                <w:kern w:val="0"/>
                <w:sz w:val="24"/>
              </w:rPr>
            </w:pPr>
            <w:r>
              <w:rPr>
                <w:rFonts w:hint="eastAsia" w:ascii="宋体" w:hAnsi="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kern w:val="0"/>
                <w:sz w:val="20"/>
                <w:szCs w:val="20"/>
                <w:lang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kern w:val="0"/>
                <w:sz w:val="20"/>
                <w:szCs w:val="20"/>
                <w:lang w:eastAsia="zh-CN"/>
              </w:rPr>
            </w:pPr>
            <w:r>
              <w:rPr>
                <w:rFonts w:hint="eastAsia" w:cs="Calibri"/>
                <w:kern w:val="0"/>
                <w:sz w:val="20"/>
                <w:szCs w:val="20"/>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rPr>
            </w:pPr>
            <w:r>
              <w:rPr>
                <w:rFonts w:hint="eastAsia" w:cs="Calibri"/>
                <w:kern w:val="0"/>
                <w:sz w:val="20"/>
                <w:szCs w:val="20"/>
              </w:rPr>
              <w:t>0</w:t>
            </w:r>
          </w:p>
        </w:tc>
      </w:tr>
    </w:tbl>
    <w:p>
      <w:pPr>
        <w:spacing w:line="400" w:lineRule="exact"/>
        <w:rPr>
          <w:rFonts w:hint="eastAsia" w:ascii="仿宋_GB2312" w:eastAsia="仿宋_GB2312"/>
          <w:sz w:val="32"/>
          <w:szCs w:val="32"/>
        </w:rPr>
      </w:pPr>
    </w:p>
    <w:p>
      <w:pPr>
        <w:rPr>
          <w:rFonts w:hint="eastAsia" w:ascii="仿宋_GB2312" w:eastAsia="仿宋_GB2312"/>
          <w:sz w:val="32"/>
          <w:szCs w:val="32"/>
        </w:rPr>
      </w:pPr>
    </w:p>
    <w:p>
      <w:pPr>
        <w:rPr>
          <w:rFonts w:ascii="宋体" w:hAnsi="宋体" w:cs="宋体"/>
          <w:b/>
          <w:bCs/>
          <w:sz w:val="24"/>
        </w:rPr>
      </w:pPr>
      <w:r>
        <w:rPr>
          <w:rFonts w:hint="eastAsia" w:ascii="宋体" w:hAnsi="宋体" w:cs="宋体"/>
          <w:b/>
          <w:bCs/>
          <w:sz w:val="24"/>
        </w:rPr>
        <w:t>四、政府信息公开行政复议、行政诉讼情况</w:t>
      </w: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bl>
    <w:p>
      <w:pPr>
        <w:spacing w:line="400" w:lineRule="exact"/>
        <w:rPr>
          <w:rFonts w:hint="eastAsia" w:ascii="仿宋_GB2312" w:eastAsia="仿宋_GB2312"/>
          <w:sz w:val="32"/>
          <w:szCs w:val="32"/>
        </w:rPr>
      </w:pPr>
    </w:p>
    <w:p>
      <w:pPr>
        <w:spacing w:line="400" w:lineRule="exact"/>
        <w:ind w:firstLine="482" w:firstLineChars="200"/>
        <w:rPr>
          <w:b/>
          <w:sz w:val="24"/>
        </w:rPr>
      </w:pPr>
      <w:r>
        <w:rPr>
          <w:rFonts w:hint="eastAsia"/>
          <w:b/>
          <w:sz w:val="24"/>
        </w:rPr>
        <w:t>五、存在的主要问题及改进情况</w:t>
      </w:r>
    </w:p>
    <w:p>
      <w:pPr>
        <w:spacing w:line="400" w:lineRule="exact"/>
        <w:ind w:firstLine="480" w:firstLineChars="200"/>
        <w:rPr>
          <w:sz w:val="24"/>
        </w:rPr>
      </w:pPr>
      <w:r>
        <w:rPr>
          <w:rFonts w:hint="eastAsia"/>
          <w:sz w:val="24"/>
        </w:rPr>
        <w:t>区司法局虽然在加大司法行政工作公开力度，完善政府信息公开制度等方面取得了一定的成绩，信息公开工作中还存在一些不足：司法行政公开的内容与公众的需求还存在一些差距、公文类信息还有待规范。针对上述存在问题，</w:t>
      </w:r>
      <w:r>
        <w:rPr>
          <w:sz w:val="24"/>
        </w:rPr>
        <w:t>本年度</w:t>
      </w:r>
      <w:r>
        <w:rPr>
          <w:rFonts w:hint="eastAsia"/>
          <w:sz w:val="24"/>
        </w:rPr>
        <w:t>区司法局通过</w:t>
      </w:r>
      <w:r>
        <w:rPr>
          <w:sz w:val="24"/>
        </w:rPr>
        <w:t>加大了政府信息公开力度</w:t>
      </w:r>
      <w:r>
        <w:rPr>
          <w:rFonts w:hint="eastAsia"/>
          <w:sz w:val="24"/>
        </w:rPr>
        <w:t>，</w:t>
      </w:r>
      <w:r>
        <w:rPr>
          <w:sz w:val="24"/>
        </w:rPr>
        <w:t>把涉及群众利益的政府信息公开作为重点工作内容</w:t>
      </w:r>
      <w:r>
        <w:rPr>
          <w:rFonts w:hint="eastAsia"/>
          <w:sz w:val="24"/>
        </w:rPr>
        <w:t>，进一步</w:t>
      </w:r>
      <w:r>
        <w:rPr>
          <w:sz w:val="24"/>
        </w:rPr>
        <w:t>畅通公开渠道，方便服务群众，有针对性开展工作。</w:t>
      </w:r>
    </w:p>
    <w:p>
      <w:pPr>
        <w:spacing w:line="400" w:lineRule="exact"/>
        <w:ind w:firstLine="482" w:firstLineChars="200"/>
        <w:rPr>
          <w:b/>
          <w:sz w:val="24"/>
        </w:rPr>
      </w:pPr>
      <w:r>
        <w:rPr>
          <w:rFonts w:hint="eastAsia"/>
          <w:b/>
          <w:sz w:val="24"/>
        </w:rPr>
        <w:t>六、其他需要报告的事项</w:t>
      </w:r>
    </w:p>
    <w:p>
      <w:pPr>
        <w:spacing w:line="400" w:lineRule="exact"/>
        <w:ind w:firstLine="480" w:firstLineChars="200"/>
        <w:rPr>
          <w:sz w:val="24"/>
        </w:rPr>
      </w:pPr>
      <w:r>
        <w:rPr>
          <w:rFonts w:hint="eastAsia"/>
          <w:sz w:val="24"/>
        </w:rPr>
        <w:t>在涉密方面，严格按照《中华人民共和国保守国家秘密法》对信息逐条进行审核，确保公开的信息不涉密，涉密的信息不公开。通过制定目录和指南，确保了信息公开有章可循。实施政府信息公开工作以来，未出现影响或者可能影响社会稳定、扰乱社会管理秩序的虚假或者不完整的信息。</w:t>
      </w:r>
    </w:p>
    <w:p>
      <w:pPr>
        <w:spacing w:line="40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6FEA"/>
    <w:rsid w:val="003A49FB"/>
    <w:rsid w:val="005C6FEA"/>
    <w:rsid w:val="00755D11"/>
    <w:rsid w:val="00984C51"/>
    <w:rsid w:val="00A03A5D"/>
    <w:rsid w:val="00EC36AD"/>
    <w:rsid w:val="00F3407F"/>
    <w:rsid w:val="10A57318"/>
    <w:rsid w:val="18330DC8"/>
    <w:rsid w:val="21F7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0"/>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390</Words>
  <Characters>2224</Characters>
  <Lines>18</Lines>
  <Paragraphs>5</Paragraphs>
  <TotalTime>24</TotalTime>
  <ScaleCrop>false</ScaleCrop>
  <LinksUpToDate>false</LinksUpToDate>
  <CharactersWithSpaces>2609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2022-01-12T06:29:00Z</dcterms:created>
  <dc:creator>Administrator</dc:creator>
  <cp:lastModifiedBy>Administrator</cp:lastModifiedBy>
  <dcterms:modified xsi:type="dcterms:W3CDTF">2023-02-17T03:13:04Z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