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德胜街道政府信息公开工作年度报告</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after="0"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中华人民共和国政府信息公开条例》规定，现公布吉林市船营区德胜街道政府信息公开工作年度报告。本年报由总体情况、行政机关主动公开政府信息情况、行政机关收到和处理政府信息公开申请情况、因政府信息公开被申请行政复议和提起行政诉讼情况、政府信息公开工作中存在的主要问题及改进情况、其他需要报告的事项六个部分组成。报告所列数据统计期限自2023年1月1日起至2023年12月31日止。如对本年报有疑问、意见和建议，请联系吉林市船营区德胜街道办事处，地址：吉林市船营区北京路西大小区6号楼德胜街道办事处，邮编：132011，电话：0432-66635246。</w:t>
      </w:r>
    </w:p>
    <w:p>
      <w:pPr>
        <w:keepNext w:val="0"/>
        <w:keepLines w:val="0"/>
        <w:pageBreakBefore w:val="0"/>
        <w:kinsoku/>
        <w:wordWrap/>
        <w:overflowPunct/>
        <w:topLinePunct w:val="0"/>
        <w:autoSpaceDE/>
        <w:autoSpaceDN/>
        <w:bidi w:val="0"/>
        <w:spacing w:after="0" w:line="560" w:lineRule="exact"/>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一、总体情况</w:t>
      </w:r>
    </w:p>
    <w:p>
      <w:pPr>
        <w:keepNext w:val="0"/>
        <w:keepLines w:val="0"/>
        <w:pageBreakBefore w:val="0"/>
        <w:kinsoku/>
        <w:wordWrap/>
        <w:overflowPunct/>
        <w:topLinePunct w:val="0"/>
        <w:autoSpaceDE/>
        <w:autoSpaceDN/>
        <w:bidi w:val="0"/>
        <w:spacing w:after="0"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2023年，我街按照上级政府信息公开各项文件工作精神，严格贯彻落实，认真开展政府信息公开工作，现将主要做法报告如下：</w:t>
      </w:r>
    </w:p>
    <w:p>
      <w:pPr>
        <w:keepNext w:val="0"/>
        <w:keepLines w:val="0"/>
        <w:pageBreakBefore w:val="0"/>
        <w:kinsoku/>
        <w:wordWrap/>
        <w:overflowPunct/>
        <w:topLinePunct w:val="0"/>
        <w:autoSpaceDE/>
        <w:autoSpaceDN/>
        <w:bidi w:val="0"/>
        <w:spacing w:after="0"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（一）组织推动全区政府信息公开工作。</w:t>
      </w:r>
      <w:r>
        <w:rPr>
          <w:rFonts w:hint="default" w:ascii="Times New Roman" w:hAnsi="Times New Roman" w:eastAsia="宋体" w:cs="Times New Roman"/>
          <w:sz w:val="24"/>
          <w:szCs w:val="24"/>
        </w:rPr>
        <w:t>德胜街道认真贯彻落实《中华人民共和国政府信息公开条例》（以下简称《条例》），提高我街全体干部职工对政府信息公开重要性的认识，秉持求真务实的原则，持续推进政府信息有序发布。按照“上下同步、规范统一、分级编制、各负其责”的原则，结合德胜街道的工作实际，根据政府信息公开目录和公开指南编制规范要求，对本街道政府信息进行全面梳理，在此基础上进一步做好信息的变更、增补等工作</w:t>
      </w:r>
      <w:r>
        <w:rPr>
          <w:rFonts w:hint="default" w:ascii="Times New Roman" w:hAnsi="Times New Roman" w:cs="Times New Roman" w:eastAsiaTheme="minorEastAsia"/>
          <w:sz w:val="24"/>
          <w:szCs w:val="24"/>
        </w:rPr>
        <w:t xml:space="preserve">。 </w:t>
      </w:r>
    </w:p>
    <w:p>
      <w:pPr>
        <w:keepNext w:val="0"/>
        <w:keepLines w:val="0"/>
        <w:pageBreakBefore w:val="0"/>
        <w:kinsoku/>
        <w:wordWrap/>
        <w:overflowPunct/>
        <w:topLinePunct w:val="0"/>
        <w:autoSpaceDE/>
        <w:autoSpaceDN/>
        <w:bidi w:val="0"/>
        <w:spacing w:after="0"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（二）积极推动政府信息主动公开。</w:t>
      </w:r>
      <w:r>
        <w:rPr>
          <w:rFonts w:hint="default" w:ascii="Times New Roman" w:hAnsi="Times New Roman" w:eastAsia="宋体" w:cs="Times New Roman"/>
          <w:sz w:val="24"/>
          <w:szCs w:val="24"/>
        </w:rPr>
        <w:t>按照《条例》要求，德胜街道认真及时收集、整理、发布公开日常工作动态和工作文件，从为人民服务的根本宗旨角度出发，改进工作作风，提高工作质量，为群众办实事，并接受全社会的监督。2023年德胜街道通过政府网站主动公开政府信息100条</w:t>
      </w:r>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spacing w:after="0"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（三）认真规范处理依申请公开。</w:t>
      </w:r>
      <w:r>
        <w:rPr>
          <w:rFonts w:hint="default" w:ascii="Times New Roman" w:hAnsi="Times New Roman" w:eastAsia="宋体" w:cs="Times New Roman"/>
          <w:sz w:val="24"/>
          <w:szCs w:val="24"/>
        </w:rPr>
        <w:t>2023年德胜街道无依申请公开的政府信息。</w:t>
      </w:r>
    </w:p>
    <w:p>
      <w:pPr>
        <w:keepNext w:val="0"/>
        <w:keepLines w:val="0"/>
        <w:pageBreakBefore w:val="0"/>
        <w:kinsoku/>
        <w:wordWrap/>
        <w:overflowPunct/>
        <w:topLinePunct w:val="0"/>
        <w:autoSpaceDE/>
        <w:autoSpaceDN/>
        <w:bidi w:val="0"/>
        <w:spacing w:after="0"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eastAsiaTheme="minorEastAsia"/>
          <w:sz w:val="24"/>
          <w:szCs w:val="24"/>
        </w:rPr>
        <w:t>（四）不断强化政府信息公开平台内容保障。</w:t>
      </w:r>
      <w:r>
        <w:rPr>
          <w:rFonts w:hint="default" w:ascii="Times New Roman" w:hAnsi="Times New Roman" w:eastAsia="宋体" w:cs="Times New Roman"/>
          <w:sz w:val="24"/>
          <w:szCs w:val="24"/>
        </w:rPr>
        <w:t>依托吉林市政务公开信息网站，开展本单位政务信息公开工作，按要求及时上传应公开的本单位最新动态及国家相关法律法规并做好保密工作。不断强化工作意识，提升工作主动性、积极性，确保街道政府信息公开工作的顺利开展。</w:t>
      </w:r>
    </w:p>
    <w:p>
      <w:pPr>
        <w:keepNext w:val="0"/>
        <w:keepLines w:val="0"/>
        <w:pageBreakBefore w:val="0"/>
        <w:kinsoku/>
        <w:wordWrap/>
        <w:overflowPunct/>
        <w:topLinePunct w:val="0"/>
        <w:autoSpaceDE/>
        <w:autoSpaceDN/>
        <w:bidi w:val="0"/>
        <w:spacing w:line="560" w:lineRule="exact"/>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（五）全力做好宣传培训评估考核等基础工作。</w:t>
      </w:r>
      <w:r>
        <w:rPr>
          <w:rFonts w:hint="default" w:ascii="Times New Roman" w:hAnsi="Times New Roman" w:eastAsia="宋体" w:cs="Times New Roman"/>
          <w:sz w:val="24"/>
          <w:szCs w:val="24"/>
        </w:rPr>
        <w:t>德胜街道重点对政府的工作职能、便民服务事项、政策咨询网站及12345市政府热线等与群众利益息息相关的服务进行了宣传。建立了政府信息公开工作考核制度，定期对政府信息公开工作进行考核、评议，并对政务公开工作人员定期进行培训，加强日常指导和监督检查</w:t>
      </w:r>
      <w:r>
        <w:rPr>
          <w:rFonts w:hint="default" w:ascii="Times New Roman" w:hAnsi="Times New Roman" w:cs="Times New Roman" w:eastAsiaTheme="minorEastAsia"/>
          <w:sz w:val="24"/>
          <w:szCs w:val="24"/>
        </w:rPr>
        <w:t>。</w:t>
      </w:r>
    </w:p>
    <w:p>
      <w:pPr>
        <w:keepNext w:val="0"/>
        <w:keepLines w:val="0"/>
        <w:pageBreakBefore w:val="0"/>
        <w:kinsoku/>
        <w:wordWrap/>
        <w:overflowPunct/>
        <w:topLinePunct w:val="0"/>
        <w:autoSpaceDE/>
        <w:autoSpaceDN/>
        <w:bidi w:val="0"/>
        <w:spacing w:after="0" w:line="560" w:lineRule="exact"/>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二、主动公开政府信息情况</w:t>
      </w:r>
    </w:p>
    <w:tbl>
      <w:tblPr>
        <w:tblStyle w:val="4"/>
        <w:tblW w:w="8828" w:type="dxa"/>
        <w:jc w:val="center"/>
        <w:tblLayout w:type="fixed"/>
        <w:tblCellMar>
          <w:top w:w="0" w:type="dxa"/>
          <w:left w:w="0" w:type="dxa"/>
          <w:bottom w:w="0" w:type="dxa"/>
          <w:right w:w="0" w:type="dxa"/>
        </w:tblCellMar>
      </w:tblPr>
      <w:tblGrid>
        <w:gridCol w:w="2545"/>
        <w:gridCol w:w="2094"/>
        <w:gridCol w:w="2094"/>
        <w:gridCol w:w="2095"/>
      </w:tblGrid>
      <w:tr>
        <w:tblPrEx>
          <w:tblCellMar>
            <w:top w:w="0" w:type="dxa"/>
            <w:left w:w="0" w:type="dxa"/>
            <w:bottom w:w="0" w:type="dxa"/>
            <w:right w:w="0" w:type="dxa"/>
          </w:tblCellMar>
        </w:tblPrEx>
        <w:trPr>
          <w:trHeight w:val="667" w:hRule="atLeast"/>
          <w:jc w:val="center"/>
        </w:trPr>
        <w:tc>
          <w:tcPr>
            <w:tcW w:w="8828"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第二十条第（一）项</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信息内容</w:t>
            </w:r>
          </w:p>
        </w:tc>
        <w:tc>
          <w:tcPr>
            <w:tcW w:w="20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本年制发件数</w:t>
            </w:r>
          </w:p>
        </w:tc>
        <w:tc>
          <w:tcPr>
            <w:tcW w:w="20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本年废止件数</w:t>
            </w:r>
          </w:p>
        </w:tc>
        <w:tc>
          <w:tcPr>
            <w:tcW w:w="209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现行有效件数</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规章</w:t>
            </w:r>
          </w:p>
        </w:tc>
        <w:tc>
          <w:tcPr>
            <w:tcW w:w="2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20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209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行政规范性文件</w:t>
            </w:r>
          </w:p>
        </w:tc>
        <w:tc>
          <w:tcPr>
            <w:tcW w:w="20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209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209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w:t>
            </w:r>
          </w:p>
        </w:tc>
      </w:tr>
      <w:tr>
        <w:tblPrEx>
          <w:tblCellMar>
            <w:top w:w="0" w:type="dxa"/>
            <w:left w:w="0" w:type="dxa"/>
            <w:bottom w:w="0" w:type="dxa"/>
            <w:right w:w="0" w:type="dxa"/>
          </w:tblCellMar>
        </w:tblPrEx>
        <w:trPr>
          <w:trHeight w:val="667"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第二十条第（五）项</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信息内容</w:t>
            </w:r>
          </w:p>
        </w:tc>
        <w:tc>
          <w:tcPr>
            <w:tcW w:w="628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本年处理决定数量</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行政许可</w:t>
            </w:r>
          </w:p>
        </w:tc>
        <w:tc>
          <w:tcPr>
            <w:tcW w:w="628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CellMar>
            <w:top w:w="0" w:type="dxa"/>
            <w:left w:w="0" w:type="dxa"/>
            <w:bottom w:w="0" w:type="dxa"/>
            <w:right w:w="0" w:type="dxa"/>
          </w:tblCellMar>
        </w:tblPrEx>
        <w:trPr>
          <w:trHeight w:val="667"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第二十条第（六）项</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信息内容</w:t>
            </w:r>
          </w:p>
        </w:tc>
        <w:tc>
          <w:tcPr>
            <w:tcW w:w="628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本年处理决定数量</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行政处罚</w:t>
            </w:r>
          </w:p>
        </w:tc>
        <w:tc>
          <w:tcPr>
            <w:tcW w:w="628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行政强制</w:t>
            </w:r>
          </w:p>
        </w:tc>
        <w:tc>
          <w:tcPr>
            <w:tcW w:w="628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CellMar>
            <w:top w:w="0" w:type="dxa"/>
            <w:left w:w="0" w:type="dxa"/>
            <w:bottom w:w="0" w:type="dxa"/>
            <w:right w:w="0" w:type="dxa"/>
          </w:tblCellMar>
        </w:tblPrEx>
        <w:trPr>
          <w:trHeight w:val="667"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第二十条第（八）项</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信息内容</w:t>
            </w:r>
          </w:p>
        </w:tc>
        <w:tc>
          <w:tcPr>
            <w:tcW w:w="628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本年收费金额（单位：万元）</w:t>
            </w:r>
          </w:p>
        </w:tc>
      </w:tr>
      <w:tr>
        <w:tblPrEx>
          <w:tblCellMar>
            <w:top w:w="0" w:type="dxa"/>
            <w:left w:w="0" w:type="dxa"/>
            <w:bottom w:w="0" w:type="dxa"/>
            <w:right w:w="0" w:type="dxa"/>
          </w:tblCellMar>
        </w:tblPrEx>
        <w:trPr>
          <w:trHeight w:val="667" w:hRule="atLeast"/>
          <w:jc w:val="center"/>
        </w:trPr>
        <w:tc>
          <w:tcPr>
            <w:tcW w:w="25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0"/>
              </w:rPr>
              <w:t>行政事业性收费</w:t>
            </w:r>
          </w:p>
        </w:tc>
        <w:tc>
          <w:tcPr>
            <w:tcW w:w="628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收到和处理政府信息公开申请情况</w:t>
      </w:r>
    </w:p>
    <w:tbl>
      <w:tblPr>
        <w:tblStyle w:val="5"/>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43"/>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楷体" w:cs="Times New Roman"/>
                <w:sz w:val="20"/>
                <w:szCs w:val="20"/>
              </w:rPr>
              <w:t>（本列数据的勾稽关系为：第一项加第二项之和，等于第三项加第四项之和）</w:t>
            </w:r>
          </w:p>
        </w:tc>
        <w:tc>
          <w:tcPr>
            <w:tcW w:w="4895" w:type="dxa"/>
            <w:gridSpan w:val="7"/>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685" w:type="dxa"/>
            <w:vMerge w:val="restart"/>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自然人</w:t>
            </w:r>
          </w:p>
        </w:tc>
        <w:tc>
          <w:tcPr>
            <w:tcW w:w="3579" w:type="dxa"/>
            <w:gridSpan w:val="5"/>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法人或其他组织</w:t>
            </w:r>
          </w:p>
        </w:tc>
        <w:tc>
          <w:tcPr>
            <w:tcW w:w="631" w:type="dxa"/>
            <w:vMerge w:val="restart"/>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68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696" w:type="dxa"/>
            <w:vAlign w:val="center"/>
          </w:tcPr>
          <w:p>
            <w:pPr>
              <w:keepNext w:val="0"/>
              <w:keepLines w:val="0"/>
              <w:pageBreakBefore w:val="0"/>
              <w:widowControl/>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商业企业</w:t>
            </w:r>
          </w:p>
        </w:tc>
        <w:tc>
          <w:tcPr>
            <w:tcW w:w="729" w:type="dxa"/>
            <w:vAlign w:val="center"/>
          </w:tcPr>
          <w:p>
            <w:pPr>
              <w:keepNext w:val="0"/>
              <w:keepLines w:val="0"/>
              <w:pageBreakBefore w:val="0"/>
              <w:widowControl/>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科研机构</w:t>
            </w:r>
          </w:p>
        </w:tc>
        <w:tc>
          <w:tcPr>
            <w:tcW w:w="707" w:type="dxa"/>
            <w:vAlign w:val="center"/>
          </w:tcPr>
          <w:p>
            <w:pPr>
              <w:keepNext w:val="0"/>
              <w:keepLines w:val="0"/>
              <w:pageBreakBefore w:val="0"/>
              <w:widowControl/>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社会公益组织</w:t>
            </w:r>
          </w:p>
        </w:tc>
        <w:tc>
          <w:tcPr>
            <w:tcW w:w="762" w:type="dxa"/>
            <w:vAlign w:val="center"/>
          </w:tcPr>
          <w:p>
            <w:pPr>
              <w:keepNext w:val="0"/>
              <w:keepLines w:val="0"/>
              <w:pageBreakBefore w:val="0"/>
              <w:widowControl/>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法律服务机构</w:t>
            </w:r>
          </w:p>
        </w:tc>
        <w:tc>
          <w:tcPr>
            <w:tcW w:w="685" w:type="dxa"/>
            <w:vAlign w:val="center"/>
          </w:tcPr>
          <w:p>
            <w:pPr>
              <w:keepNext w:val="0"/>
              <w:keepLines w:val="0"/>
              <w:pageBreakBefore w:val="0"/>
              <w:widowControl/>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其他</w:t>
            </w:r>
          </w:p>
        </w:tc>
        <w:tc>
          <w:tcPr>
            <w:tcW w:w="631"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一、本年新收政府信息公开申请数量</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二、上年结转政府信息公开申请数量</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25" w:type="dxa"/>
            <w:vMerge w:val="restart"/>
            <w:vAlign w:val="center"/>
          </w:tcPr>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sz w:val="20"/>
                <w:szCs w:val="20"/>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三、本年度办理结果</w:t>
            </w:r>
          </w:p>
        </w:tc>
        <w:tc>
          <w:tcPr>
            <w:tcW w:w="3594" w:type="dxa"/>
            <w:gridSpan w:val="2"/>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（一）予以公开</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3594" w:type="dxa"/>
            <w:gridSpan w:val="2"/>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（二）部分公开</w:t>
            </w:r>
            <w:r>
              <w:rPr>
                <w:rFonts w:hint="default" w:ascii="Times New Roman" w:hAnsi="Times New Roman" w:eastAsia="楷体" w:cs="Times New Roman"/>
                <w:sz w:val="20"/>
                <w:szCs w:val="20"/>
              </w:rPr>
              <w:t>（区分处理的，只计这一情形，不计其他情形）</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restart"/>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（三）不予公开</w:t>
            </w: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1.属于国家秘密</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2.其他法律行政法规禁止公开</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3.危及“三安全一稳定”</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4.保护第三方合法权益</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5.属于三类内部事务信息</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6.属于四类过程性信息</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7.属于行政执法案卷</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8.属于行政查询事项</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restart"/>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（四）无法提供</w:t>
            </w: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1.本机关不掌握相关政府信息</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2.没有现成信息需要另行制作</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3.补正后申请内容仍不明确</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restart"/>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（五）不予处理</w:t>
            </w: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1.信访举报投诉类申请</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2.重复申请</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3.要求提供公开出版物</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4.无正当理由大量反复申请</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5.要求行政机关确认或重新出具已获取信息</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restart"/>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（六）其他处理</w:t>
            </w: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1.申请人无正当理由逾期不补正、行政机关不再处理其政府信息公开申请</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2.申请人逾期未按收费通知要求缴纳费用、行政机关不再处理其政府信息公开申请</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943"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2651" w:type="dxa"/>
            <w:vAlign w:val="center"/>
          </w:tcPr>
          <w:p>
            <w:pPr>
              <w:keepNext w:val="0"/>
              <w:keepLines w:val="0"/>
              <w:pageBreakBefore w:val="0"/>
              <w:widowControl/>
              <w:kinsoku/>
              <w:wordWrap/>
              <w:overflowPunct/>
              <w:topLinePunct w:val="0"/>
              <w:autoSpaceDE/>
              <w:autoSpaceDN/>
              <w:bidi w:val="0"/>
              <w:spacing w:after="0" w:line="56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0"/>
                <w:szCs w:val="20"/>
              </w:rPr>
              <w:t>3.其他</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25" w:type="dxa"/>
            <w:vMerge w:val="continue"/>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p>
        </w:tc>
        <w:tc>
          <w:tcPr>
            <w:tcW w:w="3594" w:type="dxa"/>
            <w:gridSpan w:val="2"/>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（七）总计</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keepNext w:val="0"/>
              <w:keepLines w:val="0"/>
              <w:pageBreakBefore w:val="0"/>
              <w:widowControl w:val="0"/>
              <w:kinsoku/>
              <w:wordWrap/>
              <w:overflowPunct/>
              <w:topLinePunct w:val="0"/>
              <w:autoSpaceDE/>
              <w:autoSpaceDN/>
              <w:bidi w:val="0"/>
              <w:spacing w:after="0" w:line="560" w:lineRule="exact"/>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0"/>
                <w:szCs w:val="20"/>
              </w:rPr>
              <w:t>四、结转下年度继续办理</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96"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29"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07"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762"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85"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c>
          <w:tcPr>
            <w:tcW w:w="631" w:type="dxa"/>
            <w:vAlign w:val="center"/>
          </w:tcPr>
          <w:p>
            <w:pPr>
              <w:keepNext w:val="0"/>
              <w:keepLines w:val="0"/>
              <w:pageBreakBefore w:val="0"/>
              <w:widowControl w:val="0"/>
              <w:kinsoku/>
              <w:wordWrap/>
              <w:overflowPunct/>
              <w:topLinePunct w:val="0"/>
              <w:autoSpaceDE/>
              <w:autoSpaceDN/>
              <w:bidi w:val="0"/>
              <w:spacing w:after="0" w:line="560" w:lineRule="exact"/>
              <w:jc w:val="center"/>
              <w:textAlignment w:val="auto"/>
              <w:rPr>
                <w:rFonts w:hint="default" w:ascii="Times New Roman" w:hAnsi="Times New Roman" w:eastAsia="宋体" w:cs="Times New Roman"/>
                <w:sz w:val="20"/>
                <w:szCs w:val="20"/>
              </w:rPr>
            </w:pPr>
            <w:r>
              <w:rPr>
                <w:rFonts w:hint="default" w:ascii="Times New Roman" w:hAnsi="Times New Roman" w:eastAsia="宋体" w:cs="Times New Roman"/>
                <w:sz w:val="20"/>
                <w:szCs w:val="20"/>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政府信息公开行政复议、行政诉讼情况</w:t>
      </w:r>
    </w:p>
    <w:tbl>
      <w:tblPr>
        <w:tblStyle w:val="4"/>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18"/>
                <w:szCs w:val="18"/>
              </w:rPr>
            </w:pPr>
          </w:p>
        </w:tc>
        <w:tc>
          <w:tcPr>
            <w:tcW w:w="592"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宋体" w:cs="Times New Roman"/>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w:t>
            </w:r>
          </w:p>
        </w:tc>
      </w:tr>
    </w:tbl>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w:t>
      </w:r>
      <w:r>
        <w:rPr>
          <w:rFonts w:hint="default" w:ascii="Times New Roman" w:hAnsi="Times New Roman" w:eastAsia="宋体" w:cs="Times New Roman"/>
          <w:b/>
          <w:bCs/>
          <w:sz w:val="24"/>
          <w:szCs w:val="24"/>
        </w:rPr>
        <w:t>存在的主要问题及改进情况</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keepNext w:val="0"/>
        <w:keepLines w:val="0"/>
        <w:pageBreakBefore w:val="0"/>
        <w:widowControl/>
        <w:kinsoku/>
        <w:wordWrap/>
        <w:overflowPunct/>
        <w:topLinePunct w:val="0"/>
        <w:autoSpaceDE/>
        <w:autoSpaceDN/>
        <w:bidi w:val="0"/>
        <w:adjustRightInd w:val="0"/>
        <w:snapToGrid w:val="0"/>
        <w:spacing w:line="560" w:lineRule="exact"/>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六、其他需要报告的事项</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YzQ0ZWFlZTYwM2JmN2E5MGFkZDE4NzM1ZDRjN2QifQ=="/>
  </w:docVars>
  <w:rsids>
    <w:rsidRoot w:val="00D31D50"/>
    <w:rsid w:val="00024EE7"/>
    <w:rsid w:val="00107712"/>
    <w:rsid w:val="002824F3"/>
    <w:rsid w:val="00323B43"/>
    <w:rsid w:val="003C1797"/>
    <w:rsid w:val="003D37D8"/>
    <w:rsid w:val="00426133"/>
    <w:rsid w:val="004358AB"/>
    <w:rsid w:val="00472503"/>
    <w:rsid w:val="00605EFF"/>
    <w:rsid w:val="006446E7"/>
    <w:rsid w:val="006546CB"/>
    <w:rsid w:val="007C316D"/>
    <w:rsid w:val="007F1FA3"/>
    <w:rsid w:val="00830C1D"/>
    <w:rsid w:val="008B7726"/>
    <w:rsid w:val="00921092"/>
    <w:rsid w:val="009A2899"/>
    <w:rsid w:val="00C665A8"/>
    <w:rsid w:val="00CA1BD0"/>
    <w:rsid w:val="00D15467"/>
    <w:rsid w:val="00D31D50"/>
    <w:rsid w:val="00D81DF4"/>
    <w:rsid w:val="00E42625"/>
    <w:rsid w:val="5FBA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autoRedefine/>
    <w:qFormat/>
    <w:uiPriority w:val="59"/>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D7210-9F6C-4308-80A8-FB7725F5C647}">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345</Words>
  <Characters>1973</Characters>
  <Lines>16</Lines>
  <Paragraphs>4</Paragraphs>
  <TotalTime>46</TotalTime>
  <ScaleCrop>false</ScaleCrop>
  <LinksUpToDate>false</LinksUpToDate>
  <CharactersWithSpaces>2314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甜蜜味道</dc:creator>
  <cp:lastModifiedBy>伊诺妈咪私厨手工坊</cp:lastModifiedBy>
  <cp:lastPrinted>2024-01-03T07:48:00Z</cp:lastPrinted>
  <dcterms:modified xsi:type="dcterms:W3CDTF">2024-01-03T08:06:00Z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AF4A7B0747D649469085D600E2ECA05D_13</vt:lpwstr>
  </property>
</Properties>
</file>