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bCs w:val="0"/>
          <w:i w:val="0"/>
          <w:caps w:val="0"/>
          <w:color w:val="394351"/>
          <w:spacing w:val="0"/>
          <w:sz w:val="36"/>
          <w:szCs w:val="36"/>
          <w:shd w:val="clear" w:fill="FFFFFF"/>
        </w:rPr>
      </w:pPr>
      <w:r>
        <w:rPr>
          <w:rFonts w:hint="eastAsia" w:asciiTheme="minorEastAsia" w:hAnsiTheme="minorEastAsia" w:eastAsiaTheme="minorEastAsia" w:cstheme="minorEastAsia"/>
          <w:b/>
          <w:bCs w:val="0"/>
          <w:i w:val="0"/>
          <w:caps w:val="0"/>
          <w:color w:val="394351"/>
          <w:spacing w:val="0"/>
          <w:sz w:val="36"/>
          <w:szCs w:val="36"/>
          <w:shd w:val="clear" w:fill="FFFFFF"/>
          <w:lang w:val="en-US" w:eastAsia="zh-CN"/>
        </w:rPr>
        <w:t xml:space="preserve">吉林市丰满区财政局2022年度                        </w:t>
      </w:r>
      <w:r>
        <w:rPr>
          <w:rFonts w:hint="eastAsia" w:asciiTheme="minorEastAsia" w:hAnsiTheme="minorEastAsia" w:eastAsiaTheme="minorEastAsia" w:cstheme="minorEastAsia"/>
          <w:b/>
          <w:bCs w:val="0"/>
          <w:i w:val="0"/>
          <w:caps w:val="0"/>
          <w:color w:val="394351"/>
          <w:spacing w:val="0"/>
          <w:sz w:val="36"/>
          <w:szCs w:val="36"/>
          <w:shd w:val="clear" w:fill="FFFFFF"/>
          <w:lang w:eastAsia="zh-CN"/>
        </w:rPr>
        <w:t>政府</w:t>
      </w:r>
      <w:r>
        <w:rPr>
          <w:rFonts w:hint="eastAsia" w:asciiTheme="minorEastAsia" w:hAnsiTheme="minorEastAsia" w:eastAsiaTheme="minorEastAsia" w:cstheme="minorEastAsia"/>
          <w:b/>
          <w:bCs w:val="0"/>
          <w:i w:val="0"/>
          <w:caps w:val="0"/>
          <w:color w:val="394351"/>
          <w:spacing w:val="0"/>
          <w:sz w:val="36"/>
          <w:szCs w:val="36"/>
          <w:shd w:val="clear" w:fill="FFFFFF"/>
        </w:rPr>
        <w:t>信息公开年度报告</w:t>
      </w:r>
    </w:p>
    <w:p>
      <w:pPr>
        <w:rPr>
          <w:rFonts w:hint="eastAsia"/>
          <w:b/>
          <w:bCs w:val="0"/>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firstLineChars="200"/>
        <w:jc w:val="left"/>
        <w:rPr>
          <w:rFonts w:hint="eastAsia" w:ascii="宋体" w:hAnsi="宋体" w:eastAsia="宋体" w:cs="宋体"/>
          <w:b w:val="0"/>
          <w:bCs/>
          <w:i w:val="0"/>
          <w:caps w:val="0"/>
          <w:color w:val="394351"/>
          <w:spacing w:val="0"/>
          <w:sz w:val="24"/>
          <w:szCs w:val="24"/>
          <w:shd w:val="clear" w:fill="FFFFFF"/>
          <w:lang w:val="en-US" w:eastAsia="zh-CN"/>
        </w:rPr>
      </w:pPr>
      <w:r>
        <w:rPr>
          <w:rFonts w:hint="eastAsia" w:ascii="宋体" w:hAnsi="宋体" w:eastAsia="宋体" w:cs="宋体"/>
          <w:b w:val="0"/>
          <w:bCs/>
          <w:i w:val="0"/>
          <w:caps w:val="0"/>
          <w:color w:val="394351"/>
          <w:spacing w:val="0"/>
          <w:sz w:val="24"/>
          <w:szCs w:val="24"/>
          <w:shd w:val="clear" w:fill="FFFFFF"/>
          <w:lang w:eastAsia="zh-CN"/>
        </w:rPr>
        <w:t>根据《中华人民共和国政府信息公开条例》</w:t>
      </w:r>
      <w:r>
        <w:rPr>
          <w:rFonts w:hint="eastAsia" w:ascii="宋体" w:hAnsi="宋体" w:eastAsia="宋体" w:cs="宋体"/>
          <w:i w:val="0"/>
          <w:iCs w:val="0"/>
          <w:caps w:val="0"/>
          <w:color w:val="000000"/>
          <w:spacing w:val="0"/>
          <w:kern w:val="0"/>
          <w:sz w:val="24"/>
          <w:szCs w:val="24"/>
          <w:shd w:val="clear" w:color="auto" w:fill="FFFFFF"/>
          <w:lang w:val="en-US" w:eastAsia="zh-CN" w:bidi="ar"/>
        </w:rPr>
        <w:t>（以下简称《条例》）规定</w:t>
      </w:r>
      <w:r>
        <w:rPr>
          <w:rFonts w:hint="eastAsia" w:ascii="宋体" w:hAnsi="宋体" w:eastAsia="宋体" w:cs="宋体"/>
          <w:i w:val="0"/>
          <w:iCs w:val="0"/>
          <w:caps w:val="0"/>
          <w:color w:val="000000"/>
          <w:spacing w:val="0"/>
          <w:kern w:val="0"/>
          <w:sz w:val="24"/>
          <w:szCs w:val="24"/>
          <w:shd w:val="clear" w:color="auto" w:fill="FFFFFF"/>
          <w:lang w:val="en-US" w:eastAsia="zh-CN" w:bidi="ar"/>
        </w:rPr>
        <w:t>，结合2022年度吉林市丰满区财政局政府信息公开工作实际，</w:t>
      </w:r>
      <w:r>
        <w:rPr>
          <w:rFonts w:hint="eastAsia" w:ascii="宋体" w:hAnsi="宋体" w:eastAsia="宋体" w:cs="宋体"/>
          <w:b w:val="0"/>
          <w:bCs/>
          <w:i w:val="0"/>
          <w:caps w:val="0"/>
          <w:color w:val="394351"/>
          <w:spacing w:val="0"/>
          <w:sz w:val="24"/>
          <w:szCs w:val="24"/>
          <w:shd w:val="clear" w:fill="FFFFFF"/>
          <w:lang w:eastAsia="zh-CN"/>
        </w:rPr>
        <w:t>编制发布此</w:t>
      </w:r>
      <w:r>
        <w:rPr>
          <w:rFonts w:hint="eastAsia" w:ascii="宋体" w:hAnsi="宋体" w:eastAsia="宋体" w:cs="宋体"/>
          <w:b w:val="0"/>
          <w:bCs/>
          <w:i w:val="0"/>
          <w:caps w:val="0"/>
          <w:color w:val="394351"/>
          <w:spacing w:val="0"/>
          <w:sz w:val="24"/>
          <w:szCs w:val="24"/>
          <w:shd w:val="clear" w:fill="FFFFFF"/>
          <w:lang w:val="en-US" w:eastAsia="zh-CN"/>
        </w:rPr>
        <w:t>报告。本报告由总体情况、主动公开政府信息、收到和处理政府信息公开申请情况、政府信息公开行政复议、行政诉讼情况、</w:t>
      </w:r>
      <w:r>
        <w:rPr>
          <w:rFonts w:hint="eastAsia" w:ascii="宋体" w:hAnsi="宋体" w:eastAsia="宋体" w:cs="宋体"/>
          <w:b w:val="0"/>
          <w:bCs/>
          <w:i w:val="0"/>
          <w:caps w:val="0"/>
          <w:color w:val="394351"/>
          <w:spacing w:val="0"/>
          <w:sz w:val="24"/>
          <w:szCs w:val="24"/>
          <w:shd w:val="clear" w:fill="FFFFFF"/>
          <w:lang w:eastAsia="zh-CN"/>
        </w:rPr>
        <w:t>存在的问题及改进情况和其他需要报告的</w:t>
      </w:r>
      <w:r>
        <w:rPr>
          <w:rFonts w:hint="eastAsia" w:ascii="宋体" w:hAnsi="宋体" w:eastAsia="宋体" w:cs="宋体"/>
          <w:b w:val="0"/>
          <w:bCs/>
          <w:i w:val="0"/>
          <w:caps w:val="0"/>
          <w:color w:val="394351"/>
          <w:spacing w:val="0"/>
          <w:sz w:val="24"/>
          <w:szCs w:val="24"/>
          <w:shd w:val="clear" w:fill="FFFFFF"/>
          <w:lang w:val="en-US" w:eastAsia="zh-CN"/>
        </w:rPr>
        <w:t>信息六个部分</w:t>
      </w:r>
      <w:r>
        <w:rPr>
          <w:rFonts w:hint="eastAsia" w:ascii="宋体" w:hAnsi="宋体" w:eastAsia="宋体" w:cs="宋体"/>
          <w:b w:val="0"/>
          <w:bCs/>
          <w:i w:val="0"/>
          <w:caps w:val="0"/>
          <w:color w:val="394351"/>
          <w:spacing w:val="0"/>
          <w:sz w:val="24"/>
          <w:szCs w:val="24"/>
          <w:shd w:val="clear" w:fill="FFFFFF"/>
          <w:lang w:eastAsia="zh-CN"/>
        </w:rPr>
        <w:t>组成</w:t>
      </w:r>
      <w:r>
        <w:rPr>
          <w:rFonts w:hint="eastAsia" w:ascii="宋体" w:hAnsi="宋体" w:eastAsia="宋体" w:cs="宋体"/>
          <w:b w:val="0"/>
          <w:bCs/>
          <w:i w:val="0"/>
          <w:caps w:val="0"/>
          <w:color w:val="394351"/>
          <w:spacing w:val="0"/>
          <w:sz w:val="24"/>
          <w:szCs w:val="24"/>
          <w:shd w:val="clear" w:fill="FFFFFF"/>
          <w:lang w:val="en-US" w:eastAsia="zh-CN"/>
        </w:rPr>
        <w:t>。本报告中所列数据的统计期限自2022年1月1日至2022年12月31日止。本年报通过吉林市丰满区人民政府网站——政府信息公开专栏向社会公开（网址：http://xxgk.jlfm.gov.cn/cyqzf/ndbg/2020j/）。欢迎社会各界进行监督、提出意见，欢迎广大机关、企事业单位、科研院所和人民群众参阅使用。如对本年报有疑问、意见和建议，请联系吉林市丰满区财政局，地址：吉林市吉林大街76号；邮编：132013；电话：0432—64665581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firstLineChars="200"/>
        <w:jc w:val="left"/>
        <w:rPr>
          <w:rFonts w:hint="eastAsia" w:ascii="宋体" w:hAnsi="宋体" w:eastAsia="宋体" w:cs="宋体"/>
          <w:b w:val="0"/>
          <w:bCs/>
          <w:i w:val="0"/>
          <w:caps w:val="0"/>
          <w:color w:val="394351"/>
          <w:spacing w:val="0"/>
          <w:sz w:val="24"/>
          <w:szCs w:val="24"/>
          <w:shd w:val="clear" w:fill="FFFFFF"/>
          <w:lang w:eastAsia="zh-CN"/>
        </w:rPr>
      </w:pPr>
      <w:r>
        <w:rPr>
          <w:rFonts w:hint="eastAsia" w:ascii="宋体" w:hAnsi="宋体" w:eastAsia="宋体" w:cs="宋体"/>
          <w:b w:val="0"/>
          <w:bCs/>
          <w:i w:val="0"/>
          <w:caps w:val="0"/>
          <w:color w:val="394351"/>
          <w:spacing w:val="0"/>
          <w:sz w:val="24"/>
          <w:szCs w:val="24"/>
          <w:shd w:val="clear" w:fill="FFFFFF"/>
          <w:lang w:eastAsia="zh-CN"/>
        </w:rPr>
        <w:t>总体情况</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firstLineChars="200"/>
        <w:jc w:val="left"/>
        <w:rPr>
          <w:rFonts w:hint="eastAsia" w:ascii="宋体" w:hAnsi="宋体" w:eastAsia="宋体" w:cs="宋体"/>
          <w:b w:val="0"/>
          <w:bCs/>
          <w:i w:val="0"/>
          <w:caps w:val="0"/>
          <w:color w:val="394351"/>
          <w:spacing w:val="0"/>
          <w:sz w:val="24"/>
          <w:szCs w:val="24"/>
          <w:shd w:val="clear" w:fill="FFFFFF"/>
          <w:lang w:val="en-US" w:eastAsia="zh-CN"/>
        </w:rPr>
      </w:pPr>
      <w:r>
        <w:rPr>
          <w:rFonts w:hint="eastAsia" w:ascii="宋体" w:hAnsi="宋体" w:eastAsia="宋体" w:cs="宋体"/>
          <w:b w:val="0"/>
          <w:bCs/>
          <w:i w:val="0"/>
          <w:caps w:val="0"/>
          <w:color w:val="394351"/>
          <w:spacing w:val="0"/>
          <w:sz w:val="24"/>
          <w:szCs w:val="24"/>
          <w:shd w:val="clear" w:fill="FFFFFF"/>
          <w:lang w:val="en-US" w:eastAsia="zh-CN"/>
        </w:rPr>
        <w:t>（一）积极推动政府信息主动公开。</w:t>
      </w:r>
    </w:p>
    <w:p>
      <w:pPr>
        <w:numPr>
          <w:ilvl w:val="0"/>
          <w:numId w:val="0"/>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i w:val="0"/>
          <w:caps w:val="0"/>
          <w:color w:val="394351"/>
          <w:spacing w:val="0"/>
          <w:sz w:val="24"/>
          <w:szCs w:val="24"/>
          <w:shd w:val="clear" w:fill="FFFFFF"/>
          <w:lang w:val="en-US" w:eastAsia="zh-CN"/>
        </w:rPr>
        <w:t>丰满区财政局政府信息公开工作以习近平新时代中国特色社会主义思想为指导，认真贯彻落实区委,区政府关于政府信息公开工作的要求部署，强化信息公开工作的组织领导，更新完善本单位政府信息公开制度，规范政府信息公开工作流程。</w:t>
      </w:r>
    </w:p>
    <w:p>
      <w:pPr>
        <w:widowControl w:val="0"/>
        <w:numPr>
          <w:ilvl w:val="0"/>
          <w:numId w:val="0"/>
        </w:numPr>
        <w:ind w:left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认真规范处理依申请公开。</w:t>
      </w:r>
    </w:p>
    <w:p>
      <w:pPr>
        <w:numPr>
          <w:ilvl w:val="0"/>
          <w:numId w:val="0"/>
        </w:numPr>
        <w:ind w:firstLine="480" w:firstLineChars="200"/>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pP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进一步做好依申请公开接收、登记、办理、调查、答复等各个环节工作；进一步强化程序规范和实体规范，在答复申请时，要依法有据，严格按照《中华人民共和国政府信息公开条例》规定出具告知书，规范格式和内容，确保用词准确、严谨、规范，维护政府部门的形象，进一步强化依申请办理程序化、规范化、标准化。</w:t>
      </w:r>
    </w:p>
    <w:p>
      <w:pPr>
        <w:numPr>
          <w:ilvl w:val="0"/>
          <w:numId w:val="0"/>
        </w:numPr>
        <w:ind w:left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不断强化政府信息公开平台内容保障。</w:t>
      </w:r>
    </w:p>
    <w:p>
      <w:pPr>
        <w:numPr>
          <w:ilvl w:val="0"/>
          <w:numId w:val="0"/>
        </w:numPr>
        <w:ind w:left="0" w:leftChars="0" w:firstLine="480" w:firstLineChars="200"/>
        <w:rPr>
          <w:rFonts w:hint="eastAsia" w:asciiTheme="minorEastAsia" w:hAnsiTheme="minorEastAsia" w:cstheme="minorEastAsia"/>
          <w:b w:val="0"/>
          <w:bCs/>
          <w:i w:val="0"/>
          <w:caps w:val="0"/>
          <w:color w:val="394351"/>
          <w:spacing w:val="0"/>
          <w:sz w:val="24"/>
          <w:szCs w:val="24"/>
          <w:shd w:val="clear" w:fill="FFFFFF"/>
          <w:lang w:val="en-US" w:eastAsia="zh-CN"/>
        </w:rPr>
      </w:pPr>
      <w:r>
        <w:rPr>
          <w:rFonts w:hint="eastAsia" w:asciiTheme="minorEastAsia" w:hAnsiTheme="minorEastAsia" w:cstheme="minorEastAsia"/>
          <w:b w:val="0"/>
          <w:bCs/>
          <w:i w:val="0"/>
          <w:caps w:val="0"/>
          <w:color w:val="394351"/>
          <w:spacing w:val="0"/>
          <w:sz w:val="24"/>
          <w:szCs w:val="24"/>
          <w:shd w:val="clear" w:fill="FFFFFF"/>
          <w:lang w:val="en-US" w:eastAsia="zh-CN"/>
        </w:rPr>
        <w:t>坚持以公开为常态、不公开为例外，保证信息公开内容的数量与质量，除涉及国家秘密、商业秘密、个人隐私等内容外，认真梳理财政部门行政权力和依法承担的公共服务职责，紧密结合财政工作业务实际，将财政预决算、债务、乡村振兴、会计监督检查等规定的其他应主动公开的信息及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全力做好宣传培训评估考核等基础工作。</w:t>
      </w:r>
    </w:p>
    <w:p>
      <w:pPr>
        <w:numPr>
          <w:ilvl w:val="0"/>
          <w:numId w:val="0"/>
        </w:numPr>
        <w:ind w:left="0" w:leftChars="0" w:firstLine="480" w:firstLineChars="200"/>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pPr>
      <w:r>
        <w:rPr>
          <w:rFonts w:hint="eastAsia" w:asciiTheme="minorEastAsia" w:hAnsiTheme="minorEastAsia" w:cstheme="minorEastAsia"/>
          <w:b w:val="0"/>
          <w:bCs/>
          <w:i w:val="0"/>
          <w:caps w:val="0"/>
          <w:color w:val="394351"/>
          <w:spacing w:val="0"/>
          <w:sz w:val="24"/>
          <w:szCs w:val="24"/>
          <w:shd w:val="clear" w:fill="FFFFFF"/>
          <w:lang w:val="en-US" w:eastAsia="zh-CN"/>
        </w:rPr>
        <w:t>开展政务报送工作培训，增强政务工作宣传意识。</w:t>
      </w: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我局政务公开宣传培训内容突出以下四项内容：第一项：学习贯彻《中华人民共和国政府信息公开条例》和《国务院办公厅关于施行中华人民共和国政府信息公开条例若干问题的意见》。第二项：学习贯彻政务公开工作相关文件、政策法规等。第三项：了解掌握本局政务公开职责任务、服务承诺等公众关心关注内容。第四项：本局政务公开工作人员进行业务能力培训。将政务公开宣传培训工作纳入全员培训计划。同时，在执行过程中将根据内容采取灵活的方式组织实施，确保重点突出，取得实效。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150" w:leftChars="0" w:right="0" w:firstLine="480" w:firstLineChars="0"/>
        <w:jc w:val="left"/>
        <w:rPr>
          <w:rFonts w:hint="default" w:asciiTheme="minorEastAsia" w:hAnsiTheme="minorEastAsia" w:eastAsiaTheme="minorEastAsia" w:cstheme="minorEastAsia"/>
          <w:b w:val="0"/>
          <w:bCs/>
          <w:i w:val="0"/>
          <w:caps w:val="0"/>
          <w:color w:val="394351"/>
          <w:spacing w:val="0"/>
          <w:sz w:val="24"/>
          <w:szCs w:val="24"/>
          <w:shd w:val="clear" w:fill="FFFFFF"/>
          <w:lang w:val="en-US" w:eastAsia="zh-CN"/>
        </w:rPr>
      </w:pP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主动公开政府信息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firstLineChars="200"/>
        <w:jc w:val="left"/>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pP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截至202</w:t>
      </w:r>
      <w:r>
        <w:rPr>
          <w:rFonts w:hint="eastAsia" w:asciiTheme="minorEastAsia" w:hAnsiTheme="minorEastAsia" w:cstheme="minorEastAsia"/>
          <w:b w:val="0"/>
          <w:bCs/>
          <w:i w:val="0"/>
          <w:caps w:val="0"/>
          <w:color w:val="394351"/>
          <w:spacing w:val="0"/>
          <w:sz w:val="24"/>
          <w:szCs w:val="24"/>
          <w:shd w:val="clear" w:fill="FFFFFF"/>
          <w:lang w:val="en-US" w:eastAsia="zh-CN"/>
        </w:rPr>
        <w:t>2</w:t>
      </w: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年12月31日，我局主动公开的政府信息共</w:t>
      </w:r>
      <w:r>
        <w:rPr>
          <w:rFonts w:hint="eastAsia" w:asciiTheme="minorEastAsia" w:hAnsiTheme="minorEastAsia" w:cstheme="minorEastAsia"/>
          <w:b w:val="0"/>
          <w:bCs/>
          <w:i w:val="0"/>
          <w:caps w:val="0"/>
          <w:color w:val="394351"/>
          <w:spacing w:val="0"/>
          <w:sz w:val="24"/>
          <w:szCs w:val="24"/>
          <w:shd w:val="clear" w:fill="FFFFFF"/>
          <w:lang w:val="en-US" w:eastAsia="zh-CN"/>
        </w:rPr>
        <w:t>70</w:t>
      </w: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条。202</w:t>
      </w:r>
      <w:r>
        <w:rPr>
          <w:rFonts w:hint="eastAsia" w:asciiTheme="minorEastAsia" w:hAnsiTheme="minorEastAsia" w:cstheme="minorEastAsia"/>
          <w:b w:val="0"/>
          <w:bCs/>
          <w:i w:val="0"/>
          <w:caps w:val="0"/>
          <w:color w:val="394351"/>
          <w:spacing w:val="0"/>
          <w:sz w:val="24"/>
          <w:szCs w:val="24"/>
          <w:shd w:val="clear" w:fill="FFFFFF"/>
          <w:lang w:val="en-US" w:eastAsia="zh-CN"/>
        </w:rPr>
        <w:t>2</w:t>
      </w: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年，我单位没有新制作和对外公开的规章和规范性文件。无行政事业性收费项目。全年没有出现公众关注热点或重大舆情反应。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firstLineChars="200"/>
        <w:jc w:val="left"/>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pP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202</w:t>
      </w:r>
      <w:r>
        <w:rPr>
          <w:rFonts w:hint="eastAsia" w:asciiTheme="minorEastAsia" w:hAnsiTheme="minorEastAsia" w:cstheme="minorEastAsia"/>
          <w:b w:val="0"/>
          <w:bCs/>
          <w:i w:val="0"/>
          <w:caps w:val="0"/>
          <w:color w:val="394351"/>
          <w:spacing w:val="0"/>
          <w:sz w:val="24"/>
          <w:szCs w:val="24"/>
          <w:shd w:val="clear" w:fill="FFFFFF"/>
          <w:lang w:val="en-US" w:eastAsia="zh-CN"/>
        </w:rPr>
        <w:t>2</w:t>
      </w: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年度《条例》第二十条规定的法定主动公开的政府信息统计如下：</w:t>
      </w:r>
    </w:p>
    <w:tbl>
      <w:tblPr>
        <w:tblStyle w:val="4"/>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0" w:lineRule="atLeast"/>
        <w:ind w:right="0"/>
        <w:jc w:val="left"/>
        <w:rPr>
          <w:rFonts w:hint="eastAsia" w:ascii="宋体" w:hAnsi="宋体" w:eastAsia="宋体" w:cs="宋体"/>
          <w:b w:val="0"/>
          <w:bCs w:val="0"/>
          <w:i w:val="0"/>
          <w:iCs w:val="0"/>
          <w:caps w:val="0"/>
          <w:color w:val="000000"/>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right="0"/>
        <w:jc w:val="both"/>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三、收到和处理政府信息公开申请情况</w:t>
      </w:r>
    </w:p>
    <w:tbl>
      <w:tblPr>
        <w:tblStyle w:val="4"/>
        <w:tblW w:w="9345" w:type="dxa"/>
        <w:jc w:val="center"/>
        <w:tblLayout w:type="autofit"/>
        <w:tblCellMar>
          <w:top w:w="0" w:type="dxa"/>
          <w:left w:w="0" w:type="dxa"/>
          <w:bottom w:w="0" w:type="dxa"/>
          <w:right w:w="0" w:type="dxa"/>
        </w:tblCellMar>
      </w:tblPr>
      <w:tblGrid>
        <w:gridCol w:w="703"/>
        <w:gridCol w:w="948"/>
        <w:gridCol w:w="2243"/>
        <w:gridCol w:w="692"/>
        <w:gridCol w:w="764"/>
        <w:gridCol w:w="764"/>
        <w:gridCol w:w="936"/>
        <w:gridCol w:w="871"/>
        <w:gridCol w:w="720"/>
        <w:gridCol w:w="704"/>
      </w:tblGrid>
      <w:tr>
        <w:tblPrEx>
          <w:tblCellMar>
            <w:top w:w="0" w:type="dxa"/>
            <w:left w:w="0" w:type="dxa"/>
            <w:bottom w:w="0" w:type="dxa"/>
            <w:right w:w="0" w:type="dxa"/>
          </w:tblCellMar>
        </w:tblPrEx>
        <w:trPr>
          <w:trHeight w:val="404" w:hRule="atLeast"/>
          <w:jc w:val="center"/>
        </w:trPr>
        <w:tc>
          <w:tcPr>
            <w:tcW w:w="3894"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（本列数据的勾稽关系为：第一项加第二项之和，等于第三项加第四项之和）</w:t>
            </w:r>
          </w:p>
        </w:tc>
        <w:tc>
          <w:tcPr>
            <w:tcW w:w="5451"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申请人情况</w:t>
            </w:r>
          </w:p>
        </w:tc>
      </w:tr>
      <w:tr>
        <w:tblPrEx>
          <w:tblCellMar>
            <w:top w:w="0" w:type="dxa"/>
            <w:left w:w="0" w:type="dxa"/>
            <w:bottom w:w="0" w:type="dxa"/>
            <w:right w:w="0" w:type="dxa"/>
          </w:tblCellMar>
        </w:tblPrEx>
        <w:trPr>
          <w:trHeight w:val="414" w:hRule="atLeast"/>
          <w:jc w:val="center"/>
        </w:trPr>
        <w:tc>
          <w:tcPr>
            <w:tcW w:w="389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6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自</w:t>
            </w:r>
          </w:p>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然</w:t>
            </w:r>
          </w:p>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人</w:t>
            </w:r>
          </w:p>
        </w:tc>
        <w:tc>
          <w:tcPr>
            <w:tcW w:w="405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法人或其他组织</w:t>
            </w:r>
          </w:p>
        </w:tc>
        <w:tc>
          <w:tcPr>
            <w:tcW w:w="7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总计</w:t>
            </w:r>
          </w:p>
        </w:tc>
      </w:tr>
      <w:tr>
        <w:tblPrEx>
          <w:tblCellMar>
            <w:top w:w="0" w:type="dxa"/>
            <w:left w:w="0" w:type="dxa"/>
            <w:bottom w:w="0" w:type="dxa"/>
            <w:right w:w="0" w:type="dxa"/>
          </w:tblCellMar>
        </w:tblPrEx>
        <w:trPr>
          <w:trHeight w:val="774" w:hRule="atLeast"/>
          <w:jc w:val="center"/>
        </w:trPr>
        <w:tc>
          <w:tcPr>
            <w:tcW w:w="389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692"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商业企业</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科研机构</w:t>
            </w:r>
          </w:p>
        </w:tc>
        <w:tc>
          <w:tcPr>
            <w:tcW w:w="9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社会公益组织</w:t>
            </w:r>
          </w:p>
        </w:tc>
        <w:tc>
          <w:tcPr>
            <w:tcW w:w="8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其他</w:t>
            </w:r>
          </w:p>
        </w:tc>
        <w:tc>
          <w:tcPr>
            <w:tcW w:w="704"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r>
      <w:tr>
        <w:tblPrEx>
          <w:tblCellMar>
            <w:top w:w="0" w:type="dxa"/>
            <w:left w:w="0" w:type="dxa"/>
            <w:bottom w:w="0" w:type="dxa"/>
            <w:right w:w="0" w:type="dxa"/>
          </w:tblCellMar>
        </w:tblPrEx>
        <w:trPr>
          <w:trHeight w:val="431" w:hRule="atLeast"/>
          <w:jc w:val="center"/>
        </w:trPr>
        <w:tc>
          <w:tcPr>
            <w:tcW w:w="389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一、本年新收政府信息公开申请数量</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89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二、上年结转政府信息公开申请数量</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70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p>
          <w:p>
            <w:pPr>
              <w:widowControl/>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三、</w:t>
            </w:r>
          </w:p>
          <w:p>
            <w:pPr>
              <w:widowControl/>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本年度办理结果</w:t>
            </w:r>
          </w:p>
        </w:tc>
        <w:tc>
          <w:tcPr>
            <w:tcW w:w="31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（一）予以公开</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31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（二）部分公开（区分处理的，只计这一情形，不计其他情形）</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（三）不予公开</w:t>
            </w: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1.属于国家秘密</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2.其他法律行政法规禁止公开</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3.危及“三安全一稳定”</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4.保护第三方合法权益</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5.属于三类内部事务信息</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6.属于四类过程性信息</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7.属于行政执法案卷</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8.属于行政查询事项</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（四）无法提供</w:t>
            </w: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1.本机关不掌握相关政府信息</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2.没有现成信息需要另行制作</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3.补正后申请内容仍不明确</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（五）不予处理</w:t>
            </w: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1.信访举报投诉类申请</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2.重复申请</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3.要求提供公开出版物</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4.无正当理由大量反复申请</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5.要求行政机关确认或重新出具已获取信息</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（六）其他处理</w:t>
            </w: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1.申请人无正当理由逾期不补正、行政机关不再处理其政府信息公开申请</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left w:val="nil"/>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2.申请人逾期未按收费通知要求缴纳费用、行政机关不再处理其政府信息公开申请</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948"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p>
        </w:tc>
        <w:tc>
          <w:tcPr>
            <w:tcW w:w="22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3.其他</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703"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31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（七）总计</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89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四、结转下年度继续办理</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8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7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right="0" w:rightChars="0" w:firstLine="480" w:firstLineChars="200"/>
        <w:jc w:val="left"/>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四、政府信息公开行政复议、行政诉讼情况</w:t>
      </w:r>
    </w:p>
    <w:tbl>
      <w:tblPr>
        <w:tblStyle w:val="4"/>
        <w:tblW w:w="9345" w:type="dxa"/>
        <w:jc w:val="center"/>
        <w:tblLayout w:type="autofit"/>
        <w:tblCellMar>
          <w:top w:w="0" w:type="dxa"/>
          <w:left w:w="0" w:type="dxa"/>
          <w:bottom w:w="0" w:type="dxa"/>
          <w:right w:w="0" w:type="dxa"/>
        </w:tblCellMar>
      </w:tblPr>
      <w:tblGrid>
        <w:gridCol w:w="622"/>
        <w:gridCol w:w="622"/>
        <w:gridCol w:w="622"/>
        <w:gridCol w:w="622"/>
        <w:gridCol w:w="678"/>
        <w:gridCol w:w="567"/>
        <w:gridCol w:w="623"/>
        <w:gridCol w:w="623"/>
        <w:gridCol w:w="623"/>
        <w:gridCol w:w="623"/>
        <w:gridCol w:w="623"/>
        <w:gridCol w:w="623"/>
        <w:gridCol w:w="624"/>
        <w:gridCol w:w="625"/>
        <w:gridCol w:w="625"/>
      </w:tblGrid>
      <w:tr>
        <w:trPr>
          <w:jc w:val="center"/>
        </w:trPr>
        <w:tc>
          <w:tcPr>
            <w:tcW w:w="316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行政复议</w:t>
            </w:r>
          </w:p>
        </w:tc>
        <w:tc>
          <w:tcPr>
            <w:tcW w:w="6179"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行政诉讼</w:t>
            </w:r>
          </w:p>
        </w:tc>
      </w:tr>
      <w:tr>
        <w:tblPrEx>
          <w:tblCellMar>
            <w:top w:w="0" w:type="dxa"/>
            <w:left w:w="0" w:type="dxa"/>
            <w:bottom w:w="0" w:type="dxa"/>
            <w:right w:w="0" w:type="dxa"/>
          </w:tblCellMar>
        </w:tblPrEx>
        <w:trPr>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结果维持</w:t>
            </w:r>
          </w:p>
        </w:tc>
        <w:tc>
          <w:tcPr>
            <w:tcW w:w="6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结果纠正</w:t>
            </w:r>
          </w:p>
        </w:tc>
        <w:tc>
          <w:tcPr>
            <w:tcW w:w="62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其他结果</w:t>
            </w:r>
          </w:p>
        </w:tc>
        <w:tc>
          <w:tcPr>
            <w:tcW w:w="62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尚未审结</w:t>
            </w:r>
          </w:p>
        </w:tc>
        <w:tc>
          <w:tcPr>
            <w:tcW w:w="67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总计</w:t>
            </w:r>
          </w:p>
        </w:tc>
        <w:tc>
          <w:tcPr>
            <w:tcW w:w="305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未经复议直接起诉</w:t>
            </w:r>
          </w:p>
        </w:tc>
        <w:tc>
          <w:tcPr>
            <w:tcW w:w="312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复议后起诉</w:t>
            </w:r>
          </w:p>
        </w:tc>
      </w:tr>
      <w:tr>
        <w:trPr>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622" w:type="dxa"/>
            <w:vMerge w:val="continue"/>
            <w:tcBorders>
              <w:top w:val="nil"/>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622"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622"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678" w:type="dxa"/>
            <w:vMerge w:val="continue"/>
            <w:tcBorders>
              <w:top w:val="single" w:color="auto" w:sz="8" w:space="0"/>
              <w:left w:val="nil"/>
              <w:bottom w:val="single" w:color="auto" w:sz="8" w:space="0"/>
              <w:right w:val="single" w:color="auto" w:sz="8" w:space="0"/>
            </w:tcBorders>
            <w:vAlign w:val="center"/>
          </w:tcPr>
          <w:p>
            <w:pPr>
              <w:widowControl/>
              <w:jc w:val="left"/>
              <w:rPr>
                <w:rFonts w:hint="eastAsia" w:ascii="宋体" w:hAnsi="宋体" w:eastAsia="宋体" w:cs="宋体"/>
                <w:b w:val="0"/>
                <w:bCs w:val="0"/>
                <w:kern w:val="0"/>
                <w:sz w:val="24"/>
                <w:szCs w:val="24"/>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结果维持</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结果纠正</w:t>
            </w:r>
          </w:p>
        </w:tc>
        <w:tc>
          <w:tcPr>
            <w:tcW w:w="6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其他结果</w:t>
            </w:r>
          </w:p>
        </w:tc>
        <w:tc>
          <w:tcPr>
            <w:tcW w:w="6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尚未审结</w:t>
            </w:r>
          </w:p>
        </w:tc>
        <w:tc>
          <w:tcPr>
            <w:tcW w:w="6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总计</w:t>
            </w:r>
          </w:p>
        </w:tc>
        <w:tc>
          <w:tcPr>
            <w:tcW w:w="6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结果维持</w:t>
            </w:r>
          </w:p>
        </w:tc>
        <w:tc>
          <w:tcPr>
            <w:tcW w:w="62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结果纠正</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其他结果</w:t>
            </w:r>
          </w:p>
        </w:tc>
        <w:tc>
          <w:tcPr>
            <w:tcW w:w="6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尚未审结</w:t>
            </w:r>
          </w:p>
        </w:tc>
        <w:tc>
          <w:tcPr>
            <w:tcW w:w="6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rPr>
            </w:pPr>
            <w:r>
              <w:rPr>
                <w:rFonts w:hint="eastAsia" w:ascii="宋体" w:hAnsi="宋体" w:eastAsia="宋体" w:cs="宋体"/>
                <w:b w:val="0"/>
                <w:bCs w:val="0"/>
                <w:color w:val="000000"/>
                <w:kern w:val="0"/>
                <w:sz w:val="24"/>
                <w:szCs w:val="24"/>
              </w:rPr>
              <w:t>总计</w:t>
            </w:r>
          </w:p>
        </w:tc>
      </w:tr>
      <w:tr>
        <w:tblPrEx>
          <w:tblCellMar>
            <w:top w:w="0" w:type="dxa"/>
            <w:left w:w="0" w:type="dxa"/>
            <w:bottom w:w="0" w:type="dxa"/>
            <w:right w:w="0" w:type="dxa"/>
          </w:tblCellMar>
        </w:tblPrEx>
        <w:trPr>
          <w:trHeight w:val="696" w:hRule="atLeast"/>
          <w:jc w:val="center"/>
        </w:trPr>
        <w:tc>
          <w:tcPr>
            <w:tcW w:w="6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480" w:firstLineChars="200"/>
        <w:jc w:val="left"/>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firstLine="480" w:firstLineChars="200"/>
        <w:jc w:val="left"/>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pP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五、存在问题及改进情况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firstLineChars="200"/>
        <w:jc w:val="left"/>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pPr>
      <w:r>
        <w:rPr>
          <w:rFonts w:hint="default" w:asciiTheme="minorEastAsia" w:hAnsiTheme="minorEastAsia" w:eastAsiaTheme="minorEastAsia" w:cstheme="minorEastAsia"/>
          <w:b w:val="0"/>
          <w:bCs/>
          <w:i w:val="0"/>
          <w:caps w:val="0"/>
          <w:color w:val="394351"/>
          <w:spacing w:val="0"/>
          <w:sz w:val="24"/>
          <w:szCs w:val="24"/>
          <w:shd w:val="clear" w:fill="FFFFFF"/>
          <w:lang w:val="en-US" w:eastAsia="zh-CN"/>
        </w:rPr>
        <w:t>1.</w:t>
      </w: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加强学习培训，</w:t>
      </w:r>
      <w:r>
        <w:rPr>
          <w:rFonts w:hint="eastAsia" w:asciiTheme="minorEastAsia" w:hAnsiTheme="minorEastAsia" w:eastAsiaTheme="minorEastAsia" w:cstheme="minorEastAsia"/>
          <w:b w:val="0"/>
          <w:bCs/>
          <w:i w:val="0"/>
          <w:caps w:val="0"/>
          <w:color w:val="394351"/>
          <w:spacing w:val="0"/>
          <w:sz w:val="24"/>
          <w:szCs w:val="24"/>
          <w:shd w:val="clear" w:fill="FFFFFF"/>
          <w:lang w:eastAsia="zh-CN"/>
        </w:rPr>
        <w:t>提高认识。增强</w:t>
      </w: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工作人员对政务公开的重视程度，提高政务信息公开的水平。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firstLineChars="200"/>
        <w:jc w:val="left"/>
        <w:rPr>
          <w:rFonts w:hint="eastAsia" w:asciiTheme="minorEastAsia" w:hAnsiTheme="minorEastAsia" w:cstheme="minorEastAsia"/>
          <w:b w:val="0"/>
          <w:bCs/>
          <w:i w:val="0"/>
          <w:caps w:val="0"/>
          <w:color w:val="394351"/>
          <w:spacing w:val="0"/>
          <w:sz w:val="24"/>
          <w:szCs w:val="24"/>
          <w:shd w:val="clear" w:fill="FFFFFF"/>
          <w:lang w:eastAsia="zh-CN"/>
        </w:rPr>
      </w:pPr>
      <w:r>
        <w:rPr>
          <w:rFonts w:hint="eastAsia" w:asciiTheme="minorEastAsia" w:hAnsiTheme="minorEastAsia" w:cstheme="minorEastAsia"/>
          <w:b w:val="0"/>
          <w:bCs/>
          <w:i w:val="0"/>
          <w:caps w:val="0"/>
          <w:color w:val="394351"/>
          <w:spacing w:val="0"/>
          <w:sz w:val="24"/>
          <w:szCs w:val="24"/>
          <w:shd w:val="clear" w:fill="FFFFFF"/>
          <w:lang w:val="en-US" w:eastAsia="zh-CN"/>
        </w:rPr>
        <w:t>2.</w:t>
      </w:r>
      <w:r>
        <w:rPr>
          <w:rFonts w:hint="eastAsia" w:asciiTheme="minorEastAsia" w:hAnsiTheme="minorEastAsia" w:eastAsiaTheme="minorEastAsia" w:cstheme="minorEastAsia"/>
          <w:b w:val="0"/>
          <w:bCs/>
          <w:i w:val="0"/>
          <w:caps w:val="0"/>
          <w:color w:val="394351"/>
          <w:spacing w:val="0"/>
          <w:sz w:val="24"/>
          <w:szCs w:val="24"/>
          <w:shd w:val="clear" w:fill="FFFFFF"/>
          <w:lang w:eastAsia="zh-CN"/>
        </w:rPr>
        <w:t>强化组织领导与工作落实，提升政务公开能力。一是梳理主动公开目录，并及时发布信息。对照主动公开目录及责任分工，对于需要及时、根据实际公开的信息做到应公开尽公开，明确各</w:t>
      </w:r>
      <w:r>
        <w:rPr>
          <w:rFonts w:hint="eastAsia" w:asciiTheme="minorEastAsia" w:hAnsiTheme="minorEastAsia" w:cstheme="minorEastAsia"/>
          <w:b w:val="0"/>
          <w:bCs/>
          <w:i w:val="0"/>
          <w:caps w:val="0"/>
          <w:color w:val="394351"/>
          <w:spacing w:val="0"/>
          <w:sz w:val="24"/>
          <w:szCs w:val="24"/>
          <w:shd w:val="clear" w:fill="FFFFFF"/>
          <w:lang w:eastAsia="zh-CN"/>
        </w:rPr>
        <w:t>科室</w:t>
      </w:r>
      <w:r>
        <w:rPr>
          <w:rFonts w:hint="eastAsia" w:asciiTheme="minorEastAsia" w:hAnsiTheme="minorEastAsia" w:eastAsiaTheme="minorEastAsia" w:cstheme="minorEastAsia"/>
          <w:b w:val="0"/>
          <w:bCs/>
          <w:i w:val="0"/>
          <w:caps w:val="0"/>
          <w:color w:val="394351"/>
          <w:spacing w:val="0"/>
          <w:sz w:val="24"/>
          <w:szCs w:val="24"/>
          <w:shd w:val="clear" w:fill="FFFFFF"/>
          <w:lang w:eastAsia="zh-CN"/>
        </w:rPr>
        <w:t>、部门责任，将需要公开的信息及时报送综合科进行公开。二是对照责任分工，强化责任意识，根据公开时限与公开要求，及时统计信息，提高信息数据的及时性、准确性。三是不断丰富公开形式，充实公开内容，促进依法行政，有效发挥财政信息对人民群众生产、生活和经济社会发展的服务作用</w:t>
      </w:r>
      <w:r>
        <w:rPr>
          <w:rFonts w:hint="eastAsia" w:asciiTheme="minorEastAsia" w:hAnsiTheme="minorEastAsia" w:cstheme="minorEastAsia"/>
          <w:b w:val="0"/>
          <w:bCs/>
          <w:i w:val="0"/>
          <w:caps w:val="0"/>
          <w:color w:val="394351"/>
          <w:spacing w:val="0"/>
          <w:sz w:val="24"/>
          <w:szCs w:val="24"/>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firstLineChars="200"/>
        <w:jc w:val="left"/>
        <w:rPr>
          <w:rFonts w:hint="default" w:asciiTheme="minorEastAsia" w:hAnsiTheme="minorEastAsia" w:eastAsiaTheme="minorEastAsia" w:cstheme="minorEastAsia"/>
          <w:b w:val="0"/>
          <w:bCs/>
          <w:i w:val="0"/>
          <w:caps w:val="0"/>
          <w:color w:val="394351"/>
          <w:spacing w:val="0"/>
          <w:sz w:val="24"/>
          <w:szCs w:val="24"/>
          <w:shd w:val="clear" w:fill="FFFFFF"/>
          <w:lang w:val="en-US" w:eastAsia="zh-CN"/>
        </w:rPr>
      </w:pPr>
      <w:r>
        <w:rPr>
          <w:rFonts w:hint="eastAsia" w:asciiTheme="minorEastAsia" w:hAnsiTheme="minorEastAsia" w:eastAsiaTheme="minorEastAsia" w:cstheme="minorEastAsia"/>
          <w:b w:val="0"/>
          <w:bCs/>
          <w:i w:val="0"/>
          <w:caps w:val="0"/>
          <w:color w:val="394351"/>
          <w:spacing w:val="0"/>
          <w:sz w:val="24"/>
          <w:szCs w:val="24"/>
          <w:shd w:val="clear" w:fill="FFFFFF"/>
          <w:lang w:val="en-US" w:eastAsia="zh-CN"/>
        </w:rPr>
        <w:t>六、其他需要报告的事项</w:t>
      </w:r>
    </w:p>
    <w:p>
      <w:pPr>
        <w:widowControl/>
        <w:shd w:val="clear" w:color="auto" w:fill="FFFFFF"/>
        <w:ind w:firstLine="48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无此事项。</w:t>
      </w:r>
    </w:p>
    <w:p>
      <w:pPr>
        <w:widowControl/>
        <w:shd w:val="clear" w:color="auto" w:fill="FFFFFF"/>
        <w:spacing w:after="240"/>
        <w:ind w:firstLine="480"/>
        <w:rPr>
          <w:rFonts w:hint="eastAsia" w:ascii="宋体" w:hAnsi="宋体" w:eastAsia="宋体" w:cs="宋体"/>
          <w:b/>
          <w:bCs/>
          <w:color w:val="333333"/>
          <w:kern w:val="0"/>
          <w:sz w:val="24"/>
          <w:szCs w:val="24"/>
        </w:rPr>
      </w:pPr>
    </w:p>
    <w:p>
      <w:pPr>
        <w:widowControl/>
        <w:shd w:val="clear" w:color="auto" w:fill="FFFFFF"/>
        <w:spacing w:after="240"/>
        <w:ind w:firstLine="480"/>
        <w:rPr>
          <w:rFonts w:hint="eastAsia" w:ascii="宋体" w:hAnsi="宋体" w:eastAsia="宋体" w:cs="宋体"/>
          <w:b/>
          <w:bCs/>
          <w:color w:val="333333"/>
          <w:kern w:val="0"/>
          <w:sz w:val="24"/>
          <w:szCs w:val="24"/>
        </w:rPr>
      </w:pPr>
    </w:p>
    <w:p>
      <w:pPr>
        <w:widowControl/>
        <w:shd w:val="clear" w:color="auto" w:fill="FFFFFF"/>
        <w:spacing w:after="240"/>
        <w:ind w:firstLine="480"/>
        <w:rPr>
          <w:rFonts w:hint="eastAsia" w:ascii="宋体" w:hAnsi="宋体" w:eastAsia="宋体" w:cs="宋体"/>
          <w:b/>
          <w:bCs/>
          <w:color w:val="333333"/>
          <w:kern w:val="0"/>
          <w:sz w:val="24"/>
          <w:szCs w:val="24"/>
        </w:rPr>
      </w:pPr>
    </w:p>
    <w:p>
      <w:pPr>
        <w:rPr>
          <w:rFonts w:ascii="黑体" w:hAnsi="黑体" w:eastAsia="黑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default" w:ascii="Times New Roman" w:hAnsi="Times New Roman" w:cs="Times New Roman"/>
          <w:color w:val="000000"/>
          <w:sz w:val="24"/>
          <w:szCs w:val="24"/>
        </w:rPr>
      </w:pPr>
      <w:r>
        <w:rPr>
          <w:rFonts w:ascii="仿宋_GB2312" w:eastAsia="仿宋_GB2312"/>
          <w:sz w:val="32"/>
          <w:szCs w:val="32"/>
        </w:rPr>
        <w:br w:type="page"/>
      </w:r>
      <w:r>
        <w:rPr>
          <w:rFonts w:hint="default" w:ascii="Times New Roman" w:hAnsi="Times New Roman" w:eastAsia="宋体" w:cs="Times New Roman"/>
          <w:b/>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firstLineChars="200"/>
        <w:jc w:val="left"/>
        <w:rPr>
          <w:rFonts w:hint="eastAsia" w:asciiTheme="minorEastAsia" w:hAnsiTheme="minorEastAsia" w:cstheme="minorEastAsia"/>
          <w:b w:val="0"/>
          <w:bCs/>
          <w:i w:val="0"/>
          <w:caps w:val="0"/>
          <w:color w:val="394351"/>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8CAF16"/>
    <w:multiLevelType w:val="singleLevel"/>
    <w:tmpl w:val="F58CAF16"/>
    <w:lvl w:ilvl="0" w:tentative="0">
      <w:start w:val="1"/>
      <w:numFmt w:val="chineseCounting"/>
      <w:suff w:val="nothing"/>
      <w:lvlText w:val="%1、"/>
      <w:lvlJc w:val="left"/>
      <w:rPr>
        <w:rFonts w:hint="eastAsia"/>
      </w:rPr>
    </w:lvl>
  </w:abstractNum>
  <w:abstractNum w:abstractNumId="1">
    <w:nsid w:val="7A19617F"/>
    <w:multiLevelType w:val="singleLevel"/>
    <w:tmpl w:val="7A19617F"/>
    <w:lvl w:ilvl="0" w:tentative="0">
      <w:start w:val="2"/>
      <w:numFmt w:val="chineseCounting"/>
      <w:suff w:val="nothing"/>
      <w:lvlText w:val="%1、"/>
      <w:lvlJc w:val="left"/>
      <w:pPr>
        <w:ind w:left="15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Y2JmNDgxY2M1MzNkMmQyMmMxMzk4M2EyZmI5YzIifQ=="/>
  </w:docVars>
  <w:rsids>
    <w:rsidRoot w:val="70EE35B3"/>
    <w:rsid w:val="00B02351"/>
    <w:rsid w:val="0716509F"/>
    <w:rsid w:val="0C245DDA"/>
    <w:rsid w:val="10C872D7"/>
    <w:rsid w:val="148E0C78"/>
    <w:rsid w:val="273558FF"/>
    <w:rsid w:val="29697CB1"/>
    <w:rsid w:val="31C94D6A"/>
    <w:rsid w:val="33E93701"/>
    <w:rsid w:val="42B54BED"/>
    <w:rsid w:val="45E20F9B"/>
    <w:rsid w:val="4CA77451"/>
    <w:rsid w:val="4D9D560B"/>
    <w:rsid w:val="51830BC7"/>
    <w:rsid w:val="54864D34"/>
    <w:rsid w:val="56A70FFF"/>
    <w:rsid w:val="5DE571F3"/>
    <w:rsid w:val="65DA311B"/>
    <w:rsid w:val="67725E8A"/>
    <w:rsid w:val="67CC0A1B"/>
    <w:rsid w:val="6EC52EFE"/>
    <w:rsid w:val="70EE35B3"/>
    <w:rsid w:val="71402761"/>
    <w:rsid w:val="750D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character" w:styleId="8">
    <w:name w:val="HTML Code"/>
    <w:basedOn w:val="5"/>
    <w:qFormat/>
    <w:uiPriority w:val="0"/>
    <w:rPr>
      <w:rFonts w:ascii="Courier New" w:hAnsi="Courier New"/>
      <w:sz w:val="20"/>
    </w:rPr>
  </w:style>
  <w:style w:type="character" w:customStyle="1" w:styleId="9">
    <w:name w:val="name"/>
    <w:basedOn w:val="5"/>
    <w:qFormat/>
    <w:uiPriority w:val="0"/>
    <w:rPr>
      <w:color w:val="6A6A6A"/>
      <w:u w:val="single"/>
    </w:rPr>
  </w:style>
  <w:style w:type="character" w:customStyle="1" w:styleId="10">
    <w:name w:val="dates"/>
    <w:basedOn w:val="5"/>
    <w:qFormat/>
    <w:uiPriority w:val="0"/>
  </w:style>
  <w:style w:type="character" w:customStyle="1" w:styleId="11">
    <w:name w:val="m01"/>
    <w:basedOn w:val="5"/>
    <w:qFormat/>
    <w:uiPriority w:val="0"/>
  </w:style>
  <w:style w:type="character" w:customStyle="1" w:styleId="12">
    <w:name w:val="m011"/>
    <w:basedOn w:val="5"/>
    <w:qFormat/>
    <w:uiPriority w:val="0"/>
  </w:style>
  <w:style w:type="character" w:customStyle="1" w:styleId="13">
    <w:name w:val="tabg"/>
    <w:basedOn w:val="5"/>
    <w:qFormat/>
    <w:uiPriority w:val="0"/>
    <w:rPr>
      <w:color w:val="FFFFFF"/>
      <w:sz w:val="27"/>
      <w:szCs w:val="27"/>
    </w:rPr>
  </w:style>
  <w:style w:type="character" w:customStyle="1" w:styleId="14">
    <w:name w:val="laypage_curr"/>
    <w:basedOn w:val="5"/>
    <w:qFormat/>
    <w:uiPriority w:val="0"/>
    <w:rPr>
      <w:color w:val="FFFDF4"/>
      <w:shd w:val="clear" w:fill="0B67A6"/>
    </w:rPr>
  </w:style>
  <w:style w:type="character" w:customStyle="1" w:styleId="15">
    <w:name w:val="more4"/>
    <w:basedOn w:val="5"/>
    <w:qFormat/>
    <w:uiPriority w:val="0"/>
    <w:rPr>
      <w:color w:val="666666"/>
      <w:sz w:val="18"/>
      <w:szCs w:val="18"/>
    </w:rPr>
  </w:style>
  <w:style w:type="character" w:customStyle="1" w:styleId="16">
    <w:name w:val="font"/>
    <w:basedOn w:val="5"/>
    <w:qFormat/>
    <w:uiPriority w:val="0"/>
  </w:style>
  <w:style w:type="character" w:customStyle="1" w:styleId="17">
    <w:name w:val="font1"/>
    <w:basedOn w:val="5"/>
    <w:qFormat/>
    <w:uiPriority w:val="0"/>
  </w:style>
  <w:style w:type="character" w:customStyle="1" w:styleId="18">
    <w:name w:val="bg01"/>
    <w:basedOn w:val="5"/>
    <w:qFormat/>
    <w:uiPriority w:val="0"/>
  </w:style>
  <w:style w:type="character" w:customStyle="1" w:styleId="19">
    <w:name w:val="bg02"/>
    <w:basedOn w:val="5"/>
    <w:qFormat/>
    <w:uiPriority w:val="0"/>
  </w:style>
  <w:style w:type="character" w:customStyle="1" w:styleId="20">
    <w:name w:val="hover19"/>
    <w:basedOn w:val="5"/>
    <w:qFormat/>
    <w:uiPriority w:val="0"/>
    <w:rPr>
      <w:color w:val="01529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2309</Words>
  <Characters>2412</Characters>
  <Lines>0</Lines>
  <Paragraphs>0</Paragraphs>
  <TotalTime>1</TotalTime>
  <ScaleCrop>false</ScaleCrop>
  <LinksUpToDate>false</LinksUpToDate>
  <CharactersWithSpaces>2440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2021-01-07T02:15:00Z</dcterms:created>
  <dc:creator>df</dc:creator>
  <cp:lastModifiedBy>Administrator</cp:lastModifiedBy>
  <cp:lastPrinted>2022-01-20T05:34:00Z</cp:lastPrinted>
  <dcterms:modified xsi:type="dcterms:W3CDTF">2023-01-31T02:34:46Z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B0A3787544D94120962D901CD6EF1A40</vt:lpwstr>
  </property>
</Properties>
</file>