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DCA3D">
      <w:pPr>
        <w:jc w:val="center"/>
        <w:rPr>
          <w:rFonts w:hint="eastAsia" w:ascii="方正小标宋简体" w:hAnsi="方正小标宋简体" w:eastAsia="方正小标宋简体" w:cs="方正小标宋简体"/>
          <w:b w:val="0"/>
          <w:color w:val="3D3D3D"/>
          <w:kern w:val="0"/>
          <w:sz w:val="44"/>
          <w:szCs w:val="44"/>
          <w:lang w:val="en-US" w:eastAsia="zh-CN" w:bidi="ar"/>
        </w:rPr>
      </w:pPr>
      <w:r>
        <w:rPr>
          <w:rFonts w:hint="eastAsia" w:ascii="方正小标宋简体" w:hAnsi="方正小标宋简体" w:eastAsia="方正小标宋简体" w:cs="方正小标宋简体"/>
          <w:b w:val="0"/>
          <w:color w:val="3D3D3D"/>
          <w:kern w:val="0"/>
          <w:sz w:val="44"/>
          <w:szCs w:val="44"/>
          <w:lang w:val="en-US" w:eastAsia="zh-CN" w:bidi="ar"/>
        </w:rPr>
        <w:t>2024年蛟河市财政局法治建设工作报告</w:t>
      </w:r>
    </w:p>
    <w:p w14:paraId="1DE00A83">
      <w:pPr>
        <w:pStyle w:val="2"/>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 xml:space="preserve">              </w:t>
      </w:r>
    </w:p>
    <w:p w14:paraId="758DF43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left"/>
        <w:rPr>
          <w:rFonts w:hint="eastAsia" w:ascii="仿宋_GB2312" w:hAnsi="仿宋_GB2312" w:eastAsia="仿宋_GB2312" w:cs="仿宋_GB2312"/>
          <w:i w:val="0"/>
          <w:iCs w:val="0"/>
          <w:caps w:val="0"/>
          <w:color w:val="auto"/>
          <w:spacing w:val="0"/>
          <w:sz w:val="34"/>
          <w:szCs w:val="34"/>
          <w:u w:val="none"/>
        </w:rPr>
      </w:pPr>
      <w:r>
        <w:rPr>
          <w:rFonts w:hint="eastAsia" w:ascii="仿宋_GB2312" w:hAnsi="仿宋_GB2312" w:eastAsia="仿宋_GB2312" w:cs="仿宋_GB2312"/>
          <w:i w:val="0"/>
          <w:iCs w:val="0"/>
          <w:caps w:val="0"/>
          <w:color w:val="auto"/>
          <w:spacing w:val="0"/>
          <w:sz w:val="34"/>
          <w:szCs w:val="34"/>
          <w:u w:val="none"/>
          <w:shd w:val="clear" w:fill="FFFFFF"/>
        </w:rPr>
        <w:t>2024年，在</w:t>
      </w:r>
      <w:r>
        <w:rPr>
          <w:rFonts w:hint="eastAsia" w:ascii="仿宋_GB2312" w:hAnsi="仿宋_GB2312" w:eastAsia="仿宋_GB2312" w:cs="仿宋_GB2312"/>
          <w:i w:val="0"/>
          <w:iCs w:val="0"/>
          <w:caps w:val="0"/>
          <w:color w:val="auto"/>
          <w:spacing w:val="0"/>
          <w:sz w:val="34"/>
          <w:szCs w:val="34"/>
          <w:u w:val="none"/>
          <w:shd w:val="clear" w:fill="FFFFFF"/>
          <w:lang w:eastAsia="zh-CN"/>
        </w:rPr>
        <w:t>市</w:t>
      </w:r>
      <w:r>
        <w:rPr>
          <w:rFonts w:hint="eastAsia" w:ascii="仿宋_GB2312" w:hAnsi="仿宋_GB2312" w:eastAsia="仿宋_GB2312" w:cs="仿宋_GB2312"/>
          <w:i w:val="0"/>
          <w:iCs w:val="0"/>
          <w:caps w:val="0"/>
          <w:color w:val="auto"/>
          <w:spacing w:val="0"/>
          <w:sz w:val="34"/>
          <w:szCs w:val="34"/>
          <w:u w:val="none"/>
          <w:shd w:val="clear" w:fill="FFFFFF"/>
        </w:rPr>
        <w:t>委、</w:t>
      </w:r>
      <w:r>
        <w:rPr>
          <w:rFonts w:hint="eastAsia" w:ascii="仿宋_GB2312" w:hAnsi="仿宋_GB2312" w:eastAsia="仿宋_GB2312" w:cs="仿宋_GB2312"/>
          <w:i w:val="0"/>
          <w:iCs w:val="0"/>
          <w:caps w:val="0"/>
          <w:color w:val="auto"/>
          <w:spacing w:val="0"/>
          <w:sz w:val="34"/>
          <w:szCs w:val="34"/>
          <w:u w:val="none"/>
          <w:shd w:val="clear" w:fill="FFFFFF"/>
          <w:lang w:eastAsia="zh-CN"/>
        </w:rPr>
        <w:t>市</w:t>
      </w:r>
      <w:r>
        <w:rPr>
          <w:rFonts w:hint="eastAsia" w:ascii="仿宋_GB2312" w:hAnsi="仿宋_GB2312" w:eastAsia="仿宋_GB2312" w:cs="仿宋_GB2312"/>
          <w:i w:val="0"/>
          <w:iCs w:val="0"/>
          <w:caps w:val="0"/>
          <w:color w:val="auto"/>
          <w:spacing w:val="0"/>
          <w:sz w:val="34"/>
          <w:szCs w:val="34"/>
          <w:u w:val="none"/>
          <w:shd w:val="clear" w:fill="FFFFFF"/>
        </w:rPr>
        <w:t>政府的正确领导下，着力深化依法治</w:t>
      </w:r>
      <w:r>
        <w:rPr>
          <w:rFonts w:hint="eastAsia" w:ascii="仿宋_GB2312" w:hAnsi="仿宋_GB2312" w:eastAsia="仿宋_GB2312" w:cs="仿宋_GB2312"/>
          <w:i w:val="0"/>
          <w:iCs w:val="0"/>
          <w:caps w:val="0"/>
          <w:color w:val="auto"/>
          <w:spacing w:val="0"/>
          <w:sz w:val="34"/>
          <w:szCs w:val="34"/>
          <w:u w:val="none"/>
          <w:shd w:val="clear" w:fill="FFFFFF"/>
          <w:lang w:eastAsia="zh-CN"/>
        </w:rPr>
        <w:t>市</w:t>
      </w:r>
      <w:r>
        <w:rPr>
          <w:rFonts w:hint="eastAsia" w:ascii="仿宋_GB2312" w:hAnsi="仿宋_GB2312" w:eastAsia="仿宋_GB2312" w:cs="仿宋_GB2312"/>
          <w:i w:val="0"/>
          <w:iCs w:val="0"/>
          <w:caps w:val="0"/>
          <w:color w:val="auto"/>
          <w:spacing w:val="0"/>
          <w:sz w:val="34"/>
          <w:szCs w:val="34"/>
          <w:u w:val="none"/>
          <w:shd w:val="clear" w:fill="FFFFFF"/>
        </w:rPr>
        <w:t>，扎实开展各项工作，结合工作实际，牢固树立法治理念，积极规范行政执法行为，不断发挥法治在提升财政管理效能和推动财政体制改革中的重要作用。现就</w:t>
      </w:r>
      <w:r>
        <w:rPr>
          <w:rFonts w:hint="eastAsia" w:ascii="仿宋_GB2312" w:hAnsi="仿宋_GB2312" w:eastAsia="仿宋_GB2312" w:cs="仿宋_GB2312"/>
          <w:i w:val="0"/>
          <w:iCs w:val="0"/>
          <w:caps w:val="0"/>
          <w:color w:val="auto"/>
          <w:spacing w:val="0"/>
          <w:sz w:val="34"/>
          <w:szCs w:val="34"/>
          <w:u w:val="none"/>
          <w:shd w:val="clear" w:fill="FFFFFF"/>
          <w:lang w:eastAsia="zh-CN"/>
        </w:rPr>
        <w:t>市</w:t>
      </w:r>
      <w:r>
        <w:rPr>
          <w:rFonts w:hint="eastAsia" w:ascii="仿宋_GB2312" w:hAnsi="仿宋_GB2312" w:eastAsia="仿宋_GB2312" w:cs="仿宋_GB2312"/>
          <w:i w:val="0"/>
          <w:iCs w:val="0"/>
          <w:caps w:val="0"/>
          <w:color w:val="auto"/>
          <w:spacing w:val="0"/>
          <w:sz w:val="34"/>
          <w:szCs w:val="34"/>
          <w:u w:val="none"/>
          <w:shd w:val="clear" w:fill="FFFFFF"/>
        </w:rPr>
        <w:t>财政局法治政府建设工作情况汇报如下：</w:t>
      </w:r>
    </w:p>
    <w:p w14:paraId="260E826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left"/>
        <w:rPr>
          <w:rFonts w:hint="eastAsia" w:ascii="黑体" w:hAnsi="黑体" w:eastAsia="黑体" w:cs="黑体"/>
          <w:i w:val="0"/>
          <w:iCs w:val="0"/>
          <w:caps w:val="0"/>
          <w:color w:val="auto"/>
          <w:spacing w:val="0"/>
          <w:sz w:val="34"/>
          <w:szCs w:val="34"/>
          <w:u w:val="none"/>
        </w:rPr>
      </w:pPr>
      <w:r>
        <w:rPr>
          <w:rFonts w:hint="eastAsia" w:ascii="黑体" w:hAnsi="黑体" w:eastAsia="黑体" w:cs="黑体"/>
          <w:i w:val="0"/>
          <w:iCs w:val="0"/>
          <w:caps w:val="0"/>
          <w:color w:val="auto"/>
          <w:spacing w:val="0"/>
          <w:sz w:val="34"/>
          <w:szCs w:val="34"/>
          <w:u w:val="none"/>
          <w:shd w:val="clear" w:fill="FFFFFF"/>
        </w:rPr>
        <w:t>一、2024年推进法治建设情况</w:t>
      </w:r>
    </w:p>
    <w:p w14:paraId="64ACF2D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left"/>
        <w:rPr>
          <w:rFonts w:hint="eastAsia" w:ascii="楷体_GB2312" w:hAnsi="楷体_GB2312" w:eastAsia="楷体_GB2312" w:cs="楷体_GB2312"/>
          <w:b/>
          <w:bCs/>
          <w:i w:val="0"/>
          <w:iCs w:val="0"/>
          <w:caps w:val="0"/>
          <w:color w:val="auto"/>
          <w:spacing w:val="0"/>
          <w:sz w:val="34"/>
          <w:szCs w:val="34"/>
          <w:u w:val="none"/>
        </w:rPr>
      </w:pPr>
      <w:r>
        <w:rPr>
          <w:rFonts w:hint="eastAsia" w:ascii="楷体_GB2312" w:hAnsi="楷体_GB2312" w:eastAsia="楷体_GB2312" w:cs="楷体_GB2312"/>
          <w:b/>
          <w:bCs/>
          <w:i w:val="0"/>
          <w:iCs w:val="0"/>
          <w:caps w:val="0"/>
          <w:color w:val="auto"/>
          <w:spacing w:val="0"/>
          <w:sz w:val="34"/>
          <w:szCs w:val="34"/>
          <w:u w:val="none"/>
          <w:shd w:val="clear" w:fill="FFFFFF"/>
        </w:rPr>
        <w:t>（一）推动学习贯彻习近平法治思想走深走实</w:t>
      </w:r>
    </w:p>
    <w:p w14:paraId="6861D73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left"/>
        <w:rPr>
          <w:rFonts w:hint="eastAsia" w:ascii="仿宋_GB2312" w:hAnsi="仿宋_GB2312" w:eastAsia="仿宋_GB2312" w:cs="仿宋_GB2312"/>
          <w:i w:val="0"/>
          <w:iCs w:val="0"/>
          <w:caps w:val="0"/>
          <w:color w:val="auto"/>
          <w:spacing w:val="0"/>
          <w:sz w:val="34"/>
          <w:szCs w:val="34"/>
          <w:u w:val="none"/>
        </w:rPr>
      </w:pPr>
      <w:r>
        <w:rPr>
          <w:rFonts w:hint="eastAsia" w:ascii="仿宋_GB2312" w:hAnsi="仿宋_GB2312" w:eastAsia="仿宋_GB2312" w:cs="仿宋_GB2312"/>
          <w:i w:val="0"/>
          <w:iCs w:val="0"/>
          <w:caps w:val="0"/>
          <w:color w:val="auto"/>
          <w:spacing w:val="0"/>
          <w:sz w:val="34"/>
          <w:szCs w:val="34"/>
          <w:u w:val="none"/>
          <w:shd w:val="clear" w:fill="FFFFFF"/>
        </w:rPr>
        <w:t>财政局高度重视法治工作，将其列入重要议事日程，常抓常议，坚持定期专题研究依法行政过程中遇到的重点难点问题，将习近平法治思想和习近平总书记关于全面依法治国的重要讲话和指示批示作为重要学习内容，把法律法规作为行政决策的根本前提，提高运用法治方式深化改革、推动发展能力。要求领导干部强化习近平法治思想、宪法、民法典及相关法律法规等国家基本法律、党内法规、财政系统相关法律法规的学习，坚持以个人自学为主、集体组织为辅的原则，将领导干部学法作为年度普法的重要内容，并通过党组中心组、集中学习等形式常态化开展学习，积极探索领导干部学法用法方式创新，把学习与运用法律解决实际问题紧密结合起来，切实提高法治宣传教育实效。2024年，财政局开展习近平法治思想、宪法、民法典等国家基本法律、党内法规、财政系统相关法律法规学习21次。</w:t>
      </w:r>
    </w:p>
    <w:p w14:paraId="01CD62F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left"/>
        <w:rPr>
          <w:rFonts w:hint="eastAsia" w:ascii="楷体_GB2312" w:hAnsi="楷体_GB2312" w:eastAsia="楷体_GB2312" w:cs="楷体_GB2312"/>
          <w:b/>
          <w:bCs/>
          <w:i w:val="0"/>
          <w:iCs w:val="0"/>
          <w:caps w:val="0"/>
          <w:color w:val="auto"/>
          <w:spacing w:val="0"/>
          <w:sz w:val="34"/>
          <w:szCs w:val="34"/>
          <w:u w:val="none"/>
        </w:rPr>
      </w:pPr>
      <w:r>
        <w:rPr>
          <w:rFonts w:hint="eastAsia" w:ascii="楷体_GB2312" w:hAnsi="楷体_GB2312" w:eastAsia="楷体_GB2312" w:cs="楷体_GB2312"/>
          <w:b/>
          <w:bCs/>
          <w:i w:val="0"/>
          <w:iCs w:val="0"/>
          <w:caps w:val="0"/>
          <w:color w:val="auto"/>
          <w:spacing w:val="0"/>
          <w:sz w:val="34"/>
          <w:szCs w:val="34"/>
          <w:u w:val="none"/>
          <w:shd w:val="clear" w:fill="FFFFFF"/>
        </w:rPr>
        <w:t>（</w:t>
      </w:r>
      <w:r>
        <w:rPr>
          <w:rFonts w:hint="eastAsia" w:ascii="楷体_GB2312" w:hAnsi="楷体_GB2312" w:eastAsia="楷体_GB2312" w:cs="楷体_GB2312"/>
          <w:b/>
          <w:bCs/>
          <w:i w:val="0"/>
          <w:iCs w:val="0"/>
          <w:caps w:val="0"/>
          <w:color w:val="auto"/>
          <w:spacing w:val="0"/>
          <w:sz w:val="34"/>
          <w:szCs w:val="34"/>
          <w:u w:val="none"/>
          <w:shd w:val="clear" w:fill="FFFFFF"/>
          <w:lang w:eastAsia="zh-CN"/>
        </w:rPr>
        <w:t>二</w:t>
      </w:r>
      <w:r>
        <w:rPr>
          <w:rFonts w:hint="eastAsia" w:ascii="楷体_GB2312" w:hAnsi="楷体_GB2312" w:eastAsia="楷体_GB2312" w:cs="楷体_GB2312"/>
          <w:b/>
          <w:bCs/>
          <w:i w:val="0"/>
          <w:iCs w:val="0"/>
          <w:caps w:val="0"/>
          <w:color w:val="auto"/>
          <w:spacing w:val="0"/>
          <w:sz w:val="34"/>
          <w:szCs w:val="34"/>
          <w:u w:val="none"/>
          <w:shd w:val="clear" w:fill="FFFFFF"/>
        </w:rPr>
        <w:t>）做好“八五”普法工作，落实“谁执法谁普法”普法责任</w:t>
      </w:r>
    </w:p>
    <w:p w14:paraId="5390E92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left"/>
        <w:rPr>
          <w:rFonts w:hint="eastAsia" w:ascii="仿宋_GB2312" w:hAnsi="仿宋_GB2312" w:eastAsia="仿宋_GB2312" w:cs="仿宋_GB2312"/>
          <w:i w:val="0"/>
          <w:iCs w:val="0"/>
          <w:caps w:val="0"/>
          <w:color w:val="auto"/>
          <w:spacing w:val="0"/>
          <w:sz w:val="34"/>
          <w:szCs w:val="34"/>
          <w:u w:val="none"/>
        </w:rPr>
      </w:pPr>
      <w:r>
        <w:rPr>
          <w:rFonts w:hint="eastAsia" w:ascii="仿宋_GB2312" w:hAnsi="仿宋_GB2312" w:eastAsia="仿宋_GB2312" w:cs="仿宋_GB2312"/>
          <w:i w:val="0"/>
          <w:iCs w:val="0"/>
          <w:caps w:val="0"/>
          <w:color w:val="auto"/>
          <w:spacing w:val="0"/>
          <w:sz w:val="34"/>
          <w:szCs w:val="34"/>
          <w:u w:val="none"/>
          <w:shd w:val="clear" w:fill="FFFFFF"/>
          <w:lang w:eastAsia="zh-CN"/>
        </w:rPr>
        <w:t>一</w:t>
      </w:r>
      <w:r>
        <w:rPr>
          <w:rFonts w:hint="eastAsia" w:ascii="仿宋_GB2312" w:hAnsi="仿宋_GB2312" w:eastAsia="仿宋_GB2312" w:cs="仿宋_GB2312"/>
          <w:i w:val="0"/>
          <w:iCs w:val="0"/>
          <w:caps w:val="0"/>
          <w:color w:val="auto"/>
          <w:spacing w:val="0"/>
          <w:sz w:val="34"/>
          <w:szCs w:val="34"/>
          <w:u w:val="none"/>
          <w:shd w:val="clear" w:fill="FFFFFF"/>
        </w:rPr>
        <w:t>是利用“3·15”、“4·15”和“民法典宣传月”各节点开展法治宣传教育活动，通过发放宣传手册、宣传资料、宣传栏等形式，向干部群众重点宣传习近平法治思想、《中华人民共和国民法典》</w:t>
      </w:r>
      <w:r>
        <w:rPr>
          <w:rFonts w:hint="eastAsia" w:ascii="仿宋_GB2312" w:hAnsi="仿宋_GB2312" w:eastAsia="仿宋_GB2312" w:cs="仿宋_GB2312"/>
          <w:i w:val="0"/>
          <w:iCs w:val="0"/>
          <w:caps w:val="0"/>
          <w:color w:val="auto"/>
          <w:spacing w:val="0"/>
          <w:sz w:val="34"/>
          <w:szCs w:val="34"/>
          <w:u w:val="none"/>
          <w:shd w:val="clear" w:fill="FFFFFF"/>
          <w:lang w:eastAsia="zh-CN"/>
        </w:rPr>
        <w:t>、</w:t>
      </w:r>
      <w:r>
        <w:rPr>
          <w:rFonts w:hint="eastAsia" w:ascii="仿宋_GB2312" w:hAnsi="仿宋_GB2312" w:eastAsia="仿宋_GB2312" w:cs="仿宋_GB2312"/>
          <w:i w:val="0"/>
          <w:iCs w:val="0"/>
          <w:caps w:val="0"/>
          <w:color w:val="auto"/>
          <w:spacing w:val="0"/>
          <w:sz w:val="34"/>
          <w:szCs w:val="34"/>
          <w:u w:val="none"/>
          <w:shd w:val="clear" w:fill="FFFFFF"/>
        </w:rPr>
        <w:t>《中华人民共和国宪法》</w:t>
      </w:r>
      <w:r>
        <w:rPr>
          <w:rFonts w:hint="eastAsia" w:ascii="仿宋_GB2312" w:hAnsi="仿宋_GB2312" w:eastAsia="仿宋_GB2312" w:cs="仿宋_GB2312"/>
          <w:i w:val="0"/>
          <w:iCs w:val="0"/>
          <w:caps w:val="0"/>
          <w:color w:val="auto"/>
          <w:spacing w:val="0"/>
          <w:sz w:val="34"/>
          <w:szCs w:val="34"/>
          <w:u w:val="none"/>
          <w:shd w:val="clear" w:fill="FFFFFF"/>
          <w:lang w:eastAsia="zh-CN"/>
        </w:rPr>
        <w:t>、</w:t>
      </w:r>
      <w:r>
        <w:rPr>
          <w:rFonts w:hint="eastAsia" w:ascii="仿宋_GB2312" w:hAnsi="仿宋_GB2312" w:eastAsia="仿宋_GB2312" w:cs="仿宋_GB2312"/>
          <w:i w:val="0"/>
          <w:iCs w:val="0"/>
          <w:caps w:val="0"/>
          <w:color w:val="auto"/>
          <w:spacing w:val="0"/>
          <w:sz w:val="34"/>
          <w:szCs w:val="34"/>
          <w:u w:val="none"/>
          <w:shd w:val="clear" w:fill="FFFFFF"/>
        </w:rPr>
        <w:t>《中华人民共和国国家安全法》</w:t>
      </w:r>
      <w:r>
        <w:rPr>
          <w:rFonts w:hint="eastAsia" w:ascii="仿宋_GB2312" w:hAnsi="仿宋_GB2312" w:eastAsia="仿宋_GB2312" w:cs="仿宋_GB2312"/>
          <w:i w:val="0"/>
          <w:iCs w:val="0"/>
          <w:caps w:val="0"/>
          <w:color w:val="auto"/>
          <w:spacing w:val="0"/>
          <w:sz w:val="34"/>
          <w:szCs w:val="34"/>
          <w:u w:val="none"/>
          <w:shd w:val="clear" w:fill="FFFFFF"/>
          <w:lang w:eastAsia="zh-CN"/>
        </w:rPr>
        <w:t>、</w:t>
      </w:r>
      <w:r>
        <w:rPr>
          <w:rFonts w:hint="eastAsia" w:ascii="仿宋_GB2312" w:hAnsi="仿宋_GB2312" w:eastAsia="仿宋_GB2312" w:cs="仿宋_GB2312"/>
          <w:i w:val="0"/>
          <w:iCs w:val="0"/>
          <w:caps w:val="0"/>
          <w:color w:val="auto"/>
          <w:spacing w:val="0"/>
          <w:sz w:val="34"/>
          <w:szCs w:val="34"/>
          <w:u w:val="none"/>
          <w:shd w:val="clear" w:fill="FFFFFF"/>
        </w:rPr>
        <w:t>《中华人民共和国行政复议法》</w:t>
      </w:r>
      <w:r>
        <w:rPr>
          <w:rFonts w:hint="eastAsia" w:ascii="仿宋_GB2312" w:hAnsi="仿宋_GB2312" w:eastAsia="仿宋_GB2312" w:cs="仿宋_GB2312"/>
          <w:i w:val="0"/>
          <w:iCs w:val="0"/>
          <w:caps w:val="0"/>
          <w:color w:val="auto"/>
          <w:spacing w:val="0"/>
          <w:sz w:val="34"/>
          <w:szCs w:val="34"/>
          <w:u w:val="none"/>
          <w:shd w:val="clear" w:fill="FFFFFF"/>
          <w:lang w:eastAsia="zh-CN"/>
        </w:rPr>
        <w:t>、</w:t>
      </w:r>
      <w:r>
        <w:rPr>
          <w:rFonts w:hint="eastAsia" w:ascii="仿宋_GB2312" w:hAnsi="仿宋_GB2312" w:eastAsia="仿宋_GB2312" w:cs="仿宋_GB2312"/>
          <w:i w:val="0"/>
          <w:iCs w:val="0"/>
          <w:caps w:val="0"/>
          <w:color w:val="auto"/>
          <w:spacing w:val="0"/>
          <w:sz w:val="34"/>
          <w:szCs w:val="34"/>
          <w:u w:val="none"/>
          <w:shd w:val="clear" w:fill="FFFFFF"/>
        </w:rPr>
        <w:t>《防范和处置非法集资条例》</w:t>
      </w:r>
      <w:r>
        <w:rPr>
          <w:rFonts w:hint="eastAsia" w:ascii="仿宋_GB2312" w:hAnsi="仿宋_GB2312" w:eastAsia="仿宋_GB2312" w:cs="仿宋_GB2312"/>
          <w:i w:val="0"/>
          <w:iCs w:val="0"/>
          <w:caps w:val="0"/>
          <w:color w:val="auto"/>
          <w:spacing w:val="0"/>
          <w:sz w:val="34"/>
          <w:szCs w:val="34"/>
          <w:u w:val="none"/>
          <w:shd w:val="clear" w:fill="FFFFFF"/>
          <w:lang w:val="en-US" w:eastAsia="zh-CN"/>
        </w:rPr>
        <w:t>等</w:t>
      </w:r>
      <w:r>
        <w:rPr>
          <w:rFonts w:hint="eastAsia" w:ascii="仿宋_GB2312" w:hAnsi="仿宋_GB2312" w:eastAsia="仿宋_GB2312" w:cs="仿宋_GB2312"/>
          <w:i w:val="0"/>
          <w:iCs w:val="0"/>
          <w:caps w:val="0"/>
          <w:color w:val="auto"/>
          <w:spacing w:val="0"/>
          <w:sz w:val="34"/>
          <w:szCs w:val="34"/>
          <w:u w:val="none"/>
          <w:shd w:val="clear" w:fill="FFFFFF"/>
        </w:rPr>
        <w:t>相关法律法规，切实提高民众法律意识。</w:t>
      </w:r>
      <w:r>
        <w:rPr>
          <w:rFonts w:hint="eastAsia" w:ascii="仿宋_GB2312" w:hAnsi="仿宋_GB2312" w:eastAsia="仿宋_GB2312" w:cs="仿宋_GB2312"/>
          <w:i w:val="0"/>
          <w:iCs w:val="0"/>
          <w:caps w:val="0"/>
          <w:color w:val="auto"/>
          <w:spacing w:val="0"/>
          <w:sz w:val="34"/>
          <w:szCs w:val="34"/>
          <w:u w:val="none"/>
          <w:shd w:val="clear" w:fill="FFFFFF"/>
          <w:lang w:eastAsia="zh-CN"/>
        </w:rPr>
        <w:t>二</w:t>
      </w:r>
      <w:r>
        <w:rPr>
          <w:rFonts w:hint="eastAsia" w:ascii="仿宋_GB2312" w:hAnsi="仿宋_GB2312" w:eastAsia="仿宋_GB2312" w:cs="仿宋_GB2312"/>
          <w:i w:val="0"/>
          <w:iCs w:val="0"/>
          <w:caps w:val="0"/>
          <w:color w:val="auto"/>
          <w:spacing w:val="0"/>
          <w:sz w:val="34"/>
          <w:szCs w:val="34"/>
          <w:u w:val="none"/>
          <w:shd w:val="clear" w:fill="FFFFFF"/>
        </w:rPr>
        <w:t>是认真落实法律“六进”宣传活动。充分利用下乡及进企业的机会，与广大群众进行面对面交流，通过座谈、宣传等形式，重点宣传财政资金惠民、惠企政策及与群众生活息息相关的政策法规。</w:t>
      </w:r>
    </w:p>
    <w:p w14:paraId="588444D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left"/>
        <w:rPr>
          <w:rFonts w:hint="eastAsia" w:ascii="楷体_GB2312" w:hAnsi="楷体_GB2312" w:eastAsia="楷体_GB2312" w:cs="楷体_GB2312"/>
          <w:b/>
          <w:bCs/>
          <w:i w:val="0"/>
          <w:iCs w:val="0"/>
          <w:caps w:val="0"/>
          <w:color w:val="auto"/>
          <w:spacing w:val="0"/>
          <w:sz w:val="34"/>
          <w:szCs w:val="34"/>
          <w:u w:val="none"/>
        </w:rPr>
      </w:pPr>
      <w:r>
        <w:rPr>
          <w:rFonts w:hint="eastAsia" w:ascii="楷体_GB2312" w:hAnsi="楷体_GB2312" w:eastAsia="楷体_GB2312" w:cs="楷体_GB2312"/>
          <w:b/>
          <w:bCs/>
          <w:i w:val="0"/>
          <w:iCs w:val="0"/>
          <w:caps w:val="0"/>
          <w:color w:val="auto"/>
          <w:spacing w:val="0"/>
          <w:sz w:val="34"/>
          <w:szCs w:val="34"/>
          <w:u w:val="none"/>
          <w:shd w:val="clear" w:fill="FFFFFF"/>
        </w:rPr>
        <w:t>（</w:t>
      </w:r>
      <w:r>
        <w:rPr>
          <w:rFonts w:hint="eastAsia" w:ascii="楷体_GB2312" w:hAnsi="楷体_GB2312" w:eastAsia="楷体_GB2312" w:cs="楷体_GB2312"/>
          <w:b/>
          <w:bCs/>
          <w:i w:val="0"/>
          <w:iCs w:val="0"/>
          <w:caps w:val="0"/>
          <w:color w:val="auto"/>
          <w:spacing w:val="0"/>
          <w:sz w:val="34"/>
          <w:szCs w:val="34"/>
          <w:u w:val="none"/>
          <w:shd w:val="clear" w:fill="FFFFFF"/>
          <w:lang w:eastAsia="zh-CN"/>
        </w:rPr>
        <w:t>三</w:t>
      </w:r>
      <w:r>
        <w:rPr>
          <w:rFonts w:hint="eastAsia" w:ascii="楷体_GB2312" w:hAnsi="楷体_GB2312" w:eastAsia="楷体_GB2312" w:cs="楷体_GB2312"/>
          <w:b/>
          <w:bCs/>
          <w:i w:val="0"/>
          <w:iCs w:val="0"/>
          <w:caps w:val="0"/>
          <w:color w:val="auto"/>
          <w:spacing w:val="0"/>
          <w:sz w:val="34"/>
          <w:szCs w:val="34"/>
          <w:u w:val="none"/>
          <w:shd w:val="clear" w:fill="FFFFFF"/>
        </w:rPr>
        <w:t>）强化法治保障，服务社会发展。</w:t>
      </w:r>
    </w:p>
    <w:p w14:paraId="75E8CE36">
      <w:pPr>
        <w:keepNext w:val="0"/>
        <w:keepLines w:val="0"/>
        <w:pageBreakBefore w:val="0"/>
        <w:kinsoku/>
        <w:wordWrap/>
        <w:overflowPunct/>
        <w:topLinePunct w:val="0"/>
        <w:autoSpaceDE/>
        <w:autoSpaceDN/>
        <w:bidi w:val="0"/>
        <w:adjustRightInd/>
        <w:snapToGrid w:val="0"/>
        <w:spacing w:line="576" w:lineRule="exact"/>
        <w:ind w:left="0" w:leftChars="0" w:firstLine="680" w:firstLineChars="200"/>
        <w:jc w:val="both"/>
        <w:textAlignment w:val="auto"/>
        <w:rPr>
          <w:rFonts w:hint="eastAsia" w:ascii="仿宋_GB2312" w:hAnsi="仿宋_GB2312" w:eastAsia="仿宋_GB2312" w:cs="仿宋_GB2312"/>
          <w:i w:val="0"/>
          <w:iCs w:val="0"/>
          <w:caps w:val="0"/>
          <w:color w:val="auto"/>
          <w:spacing w:val="0"/>
          <w:sz w:val="34"/>
          <w:szCs w:val="34"/>
          <w:u w:val="none"/>
        </w:rPr>
      </w:pPr>
      <w:r>
        <w:rPr>
          <w:rFonts w:hint="eastAsia" w:ascii="仿宋_GB2312" w:hAnsi="仿宋_GB2312" w:eastAsia="仿宋_GB2312" w:cs="仿宋_GB2312"/>
          <w:i w:val="0"/>
          <w:iCs w:val="0"/>
          <w:caps w:val="0"/>
          <w:color w:val="auto"/>
          <w:spacing w:val="0"/>
          <w:sz w:val="34"/>
          <w:szCs w:val="34"/>
          <w:u w:val="none"/>
          <w:shd w:val="clear" w:fill="FFFFFF"/>
          <w:lang w:eastAsia="zh-CN"/>
        </w:rPr>
        <w:t>一是</w:t>
      </w:r>
      <w:r>
        <w:rPr>
          <w:rFonts w:hint="eastAsia" w:ascii="仿宋_GB2312" w:hAnsi="仿宋_GB2312" w:eastAsia="仿宋_GB2312" w:cs="仿宋_GB2312"/>
          <w:i w:val="0"/>
          <w:iCs w:val="0"/>
          <w:caps w:val="0"/>
          <w:color w:val="auto"/>
          <w:spacing w:val="0"/>
          <w:sz w:val="34"/>
          <w:szCs w:val="34"/>
          <w:u w:val="none"/>
          <w:shd w:val="clear" w:fill="FFFFFF"/>
        </w:rPr>
        <w:t>落实经费保障。结合财政局工作职能，财政局积极统筹资金，将法治建设工作纳入预算，</w:t>
      </w:r>
      <w:r>
        <w:rPr>
          <w:rFonts w:hint="eastAsia" w:ascii="仿宋_GB2312" w:hAnsi="仿宋_GB2312" w:eastAsia="仿宋_GB2312" w:cs="仿宋_GB2312"/>
          <w:i w:val="0"/>
          <w:iCs w:val="0"/>
          <w:caps w:val="0"/>
          <w:color w:val="auto"/>
          <w:spacing w:val="0"/>
          <w:sz w:val="34"/>
          <w:szCs w:val="34"/>
          <w:u w:val="none"/>
          <w:shd w:val="clear" w:fill="FFFFFF"/>
          <w:lang w:val="en-US" w:eastAsia="zh-CN"/>
        </w:rPr>
        <w:t>2024年</w:t>
      </w:r>
      <w:r>
        <w:rPr>
          <w:rFonts w:hint="eastAsia" w:ascii="仿宋_GB2312" w:hAnsi="仿宋_GB2312" w:eastAsia="仿宋_GB2312" w:cs="仿宋_GB2312"/>
          <w:sz w:val="32"/>
          <w:szCs w:val="32"/>
          <w:lang w:val="en-US" w:eastAsia="zh-CN"/>
        </w:rPr>
        <w:t>拨付法治政府建设专项经费473.66万元（本级146.66万、省专项327万），为法治政府建设提供有力资金保障，确保了我市法治政府建设各项工作有序进行。</w:t>
      </w:r>
      <w:r>
        <w:rPr>
          <w:rFonts w:hint="eastAsia" w:ascii="仿宋_GB2312" w:hAnsi="仿宋_GB2312" w:eastAsia="仿宋_GB2312" w:cs="仿宋_GB2312"/>
          <w:i w:val="0"/>
          <w:iCs w:val="0"/>
          <w:caps w:val="0"/>
          <w:color w:val="auto"/>
          <w:spacing w:val="0"/>
          <w:sz w:val="34"/>
          <w:szCs w:val="34"/>
          <w:u w:val="none"/>
          <w:shd w:val="clear" w:fill="FFFFFF"/>
        </w:rPr>
        <w:t>二是坚持政府阳光采购，严格执行法律法规，政府采购信息发布公开透明，审核把关询价采购项目文件，集体研究综合评议项目，政府采购严格执行内部控制制度规定的采购流程、组织方式、工作纪律、评审原则。</w:t>
      </w:r>
    </w:p>
    <w:p w14:paraId="439B8FD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left"/>
        <w:rPr>
          <w:rFonts w:hint="eastAsia" w:ascii="楷体_GB2312" w:hAnsi="楷体_GB2312" w:eastAsia="楷体_GB2312" w:cs="楷体_GB2312"/>
          <w:b/>
          <w:bCs/>
          <w:i w:val="0"/>
          <w:iCs w:val="0"/>
          <w:caps w:val="0"/>
          <w:color w:val="auto"/>
          <w:spacing w:val="0"/>
          <w:sz w:val="34"/>
          <w:szCs w:val="34"/>
          <w:u w:val="none"/>
        </w:rPr>
      </w:pPr>
      <w:r>
        <w:rPr>
          <w:rFonts w:hint="eastAsia" w:ascii="楷体_GB2312" w:hAnsi="楷体_GB2312" w:eastAsia="楷体_GB2312" w:cs="楷体_GB2312"/>
          <w:b/>
          <w:bCs/>
          <w:i w:val="0"/>
          <w:iCs w:val="0"/>
          <w:caps w:val="0"/>
          <w:color w:val="auto"/>
          <w:spacing w:val="0"/>
          <w:sz w:val="34"/>
          <w:szCs w:val="34"/>
          <w:u w:val="none"/>
          <w:shd w:val="clear" w:fill="FFFFFF"/>
        </w:rPr>
        <w:t>（</w:t>
      </w:r>
      <w:r>
        <w:rPr>
          <w:rFonts w:hint="eastAsia" w:ascii="楷体_GB2312" w:hAnsi="楷体_GB2312" w:eastAsia="楷体_GB2312" w:cs="楷体_GB2312"/>
          <w:b/>
          <w:bCs/>
          <w:i w:val="0"/>
          <w:iCs w:val="0"/>
          <w:caps w:val="0"/>
          <w:color w:val="auto"/>
          <w:spacing w:val="0"/>
          <w:sz w:val="34"/>
          <w:szCs w:val="34"/>
          <w:u w:val="none"/>
          <w:shd w:val="clear" w:fill="FFFFFF"/>
          <w:lang w:eastAsia="zh-CN"/>
        </w:rPr>
        <w:t>四</w:t>
      </w:r>
      <w:r>
        <w:rPr>
          <w:rFonts w:hint="eastAsia" w:ascii="楷体_GB2312" w:hAnsi="楷体_GB2312" w:eastAsia="楷体_GB2312" w:cs="楷体_GB2312"/>
          <w:b/>
          <w:bCs/>
          <w:i w:val="0"/>
          <w:iCs w:val="0"/>
          <w:caps w:val="0"/>
          <w:color w:val="auto"/>
          <w:spacing w:val="0"/>
          <w:sz w:val="34"/>
          <w:szCs w:val="34"/>
          <w:u w:val="none"/>
          <w:shd w:val="clear" w:fill="FFFFFF"/>
        </w:rPr>
        <w:t>）坚持强化政治建设，打造高素质过硬法治工作队伍</w:t>
      </w:r>
    </w:p>
    <w:p w14:paraId="2EA7727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left"/>
        <w:rPr>
          <w:rFonts w:hint="eastAsia" w:ascii="仿宋_GB2312" w:hAnsi="仿宋_GB2312" w:eastAsia="仿宋_GB2312" w:cs="仿宋_GB2312"/>
          <w:i w:val="0"/>
          <w:iCs w:val="0"/>
          <w:caps w:val="0"/>
          <w:color w:val="auto"/>
          <w:spacing w:val="0"/>
          <w:sz w:val="34"/>
          <w:szCs w:val="34"/>
          <w:u w:val="none"/>
        </w:rPr>
      </w:pPr>
      <w:r>
        <w:rPr>
          <w:rFonts w:hint="eastAsia" w:ascii="仿宋_GB2312" w:hAnsi="仿宋_GB2312" w:eastAsia="仿宋_GB2312" w:cs="仿宋_GB2312"/>
          <w:i w:val="0"/>
          <w:iCs w:val="0"/>
          <w:caps w:val="0"/>
          <w:color w:val="auto"/>
          <w:spacing w:val="0"/>
          <w:sz w:val="34"/>
          <w:szCs w:val="34"/>
          <w:u w:val="none"/>
          <w:shd w:val="clear" w:fill="FFFFFF"/>
        </w:rPr>
        <w:t>2024年，财政局调整充实法治政府建设工作领导小组，完善任务分工，全面深化权责清单工作等相关事宜，任务明确，思想上高度重视、行动上落到实处，全面开展法治政府建设，推行依法行政。注重干部法律知识培训，加强干部经常性</w:t>
      </w:r>
      <w:r>
        <w:rPr>
          <w:rFonts w:hint="eastAsia" w:ascii="仿宋_GB2312" w:hAnsi="仿宋_GB2312" w:eastAsia="仿宋_GB2312" w:cs="仿宋_GB2312"/>
          <w:i w:val="0"/>
          <w:iCs w:val="0"/>
          <w:caps w:val="0"/>
          <w:color w:val="auto"/>
          <w:spacing w:val="0"/>
          <w:sz w:val="34"/>
          <w:szCs w:val="34"/>
          <w:u w:val="none"/>
          <w:shd w:val="clear" w:fill="FFFFFF"/>
          <w:lang w:val="en-US" w:eastAsia="zh-CN"/>
        </w:rPr>
        <w:t>法律</w:t>
      </w:r>
      <w:r>
        <w:rPr>
          <w:rFonts w:hint="eastAsia" w:ascii="仿宋_GB2312" w:hAnsi="仿宋_GB2312" w:eastAsia="仿宋_GB2312" w:cs="仿宋_GB2312"/>
          <w:i w:val="0"/>
          <w:iCs w:val="0"/>
          <w:caps w:val="0"/>
          <w:color w:val="auto"/>
          <w:spacing w:val="0"/>
          <w:sz w:val="34"/>
          <w:szCs w:val="34"/>
          <w:u w:val="none"/>
          <w:shd w:val="clear" w:fill="FFFFFF"/>
        </w:rPr>
        <w:t>教育和管理，注重懂法、学法、用法干部培养，坚持把支部建在法治队伍上，把党员干部融进法治队伍中的原则，不断调动法治队伍积极性，不断增强队伍活力和战斗力。</w:t>
      </w:r>
    </w:p>
    <w:p w14:paraId="6EAE6E74">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76" w:lineRule="exact"/>
        <w:ind w:firstLine="680" w:firstLineChars="200"/>
        <w:jc w:val="both"/>
        <w:textAlignment w:val="auto"/>
        <w:rPr>
          <w:rFonts w:hint="eastAsia" w:ascii="黑体" w:hAnsi="黑体" w:eastAsia="黑体" w:cs="黑体"/>
          <w:b w:val="0"/>
          <w:color w:val="auto"/>
          <w:sz w:val="32"/>
          <w:szCs w:val="32"/>
          <w:u w:val="none"/>
          <w:lang w:val="en-US" w:eastAsia="zh-CN"/>
        </w:rPr>
      </w:pPr>
      <w:r>
        <w:rPr>
          <w:rFonts w:hint="eastAsia" w:ascii="黑体" w:hAnsi="黑体" w:eastAsia="黑体" w:cs="黑体"/>
          <w:i w:val="0"/>
          <w:iCs w:val="0"/>
          <w:caps w:val="0"/>
          <w:color w:val="auto"/>
          <w:spacing w:val="0"/>
          <w:sz w:val="34"/>
          <w:szCs w:val="34"/>
          <w:u w:val="none"/>
          <w:shd w:val="clear" w:fill="FFFFFF"/>
          <w:lang w:val="en-US" w:eastAsia="zh-CN"/>
        </w:rPr>
        <w:t>二</w:t>
      </w:r>
      <w:r>
        <w:rPr>
          <w:rFonts w:hint="eastAsia" w:ascii="黑体" w:hAnsi="黑体" w:eastAsia="黑体" w:cs="黑体"/>
          <w:i w:val="0"/>
          <w:iCs w:val="0"/>
          <w:caps w:val="0"/>
          <w:color w:val="auto"/>
          <w:spacing w:val="0"/>
          <w:kern w:val="0"/>
          <w:sz w:val="34"/>
          <w:szCs w:val="34"/>
          <w:u w:val="none"/>
          <w:shd w:val="clear" w:fill="FFFFFF"/>
          <w:lang w:val="en-US" w:eastAsia="zh-CN" w:bidi="ar"/>
        </w:rPr>
        <w:t>、2024年推进法治政府建设工作安排</w:t>
      </w:r>
    </w:p>
    <w:p w14:paraId="260BCD7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left"/>
        <w:rPr>
          <w:rFonts w:hint="eastAsia" w:ascii="仿宋_GB2312" w:hAnsi="仿宋_GB2312" w:eastAsia="仿宋_GB2312" w:cs="仿宋_GB2312"/>
          <w:i w:val="0"/>
          <w:iCs w:val="0"/>
          <w:caps w:val="0"/>
          <w:color w:val="auto"/>
          <w:spacing w:val="0"/>
          <w:sz w:val="34"/>
          <w:szCs w:val="34"/>
          <w:u w:val="none"/>
        </w:rPr>
      </w:pPr>
      <w:r>
        <w:rPr>
          <w:rFonts w:hint="eastAsia" w:ascii="仿宋_GB2312" w:hAnsi="仿宋_GB2312" w:eastAsia="仿宋_GB2312" w:cs="仿宋_GB2312"/>
          <w:i w:val="0"/>
          <w:iCs w:val="0"/>
          <w:caps w:val="0"/>
          <w:color w:val="auto"/>
          <w:spacing w:val="0"/>
          <w:sz w:val="34"/>
          <w:szCs w:val="34"/>
          <w:u w:val="none"/>
          <w:shd w:val="clear" w:fill="FFFFFF"/>
        </w:rPr>
        <w:t>（一）进一步强化组织领导。持续落实“一把手”法治建设第一责任人制度，坚持问题导向、质量导向、目标导向，加强与相关部门的对接沟通，及时向主管部门汇报，确保各项任务落实到位。进一步履行好财政部门职能职责，强化预算编制管理，优化财政支出结构，提高资金使用效益，以深化作风纪律建设为抓手，全力推进财政法治建设工作再上新台阶。</w:t>
      </w:r>
    </w:p>
    <w:p w14:paraId="3A37B09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left"/>
        <w:rPr>
          <w:rFonts w:hint="eastAsia" w:ascii="仿宋_GB2312" w:hAnsi="仿宋_GB2312" w:eastAsia="仿宋_GB2312" w:cs="仿宋_GB2312"/>
          <w:i w:val="0"/>
          <w:iCs w:val="0"/>
          <w:caps w:val="0"/>
          <w:color w:val="auto"/>
          <w:spacing w:val="0"/>
          <w:sz w:val="34"/>
          <w:szCs w:val="34"/>
          <w:u w:val="none"/>
        </w:rPr>
      </w:pPr>
      <w:r>
        <w:rPr>
          <w:rFonts w:hint="eastAsia" w:ascii="仿宋_GB2312" w:hAnsi="仿宋_GB2312" w:eastAsia="仿宋_GB2312" w:cs="仿宋_GB2312"/>
          <w:i w:val="0"/>
          <w:iCs w:val="0"/>
          <w:caps w:val="0"/>
          <w:color w:val="auto"/>
          <w:spacing w:val="0"/>
          <w:sz w:val="34"/>
          <w:szCs w:val="34"/>
          <w:u w:val="none"/>
          <w:shd w:val="clear" w:fill="FFFFFF"/>
        </w:rPr>
        <w:t>（二）进一步加强监督检查。加大监管力度，通过开通监督举报电话、受理举报投诉等方式，确保依法治市各项工作落到实处。切实把收费清单的落实情况、依法治市信息报送情况等纳入部门年度工作目标考核和机关效能考核。坚持无预算不支出，对没有明确资金来源的项目，一律不得审批，一律不得开工建设。</w:t>
      </w:r>
    </w:p>
    <w:p w14:paraId="7D182B5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left"/>
        <w:rPr>
          <w:rFonts w:hint="eastAsia" w:ascii="仿宋_GB2312" w:hAnsi="仿宋_GB2312" w:eastAsia="仿宋_GB2312" w:cs="仿宋_GB2312"/>
          <w:i w:val="0"/>
          <w:iCs w:val="0"/>
          <w:caps w:val="0"/>
          <w:color w:val="auto"/>
          <w:spacing w:val="0"/>
          <w:sz w:val="34"/>
          <w:szCs w:val="34"/>
          <w:u w:val="none"/>
          <w:shd w:val="clear" w:fill="FFFFFF"/>
        </w:rPr>
      </w:pPr>
      <w:r>
        <w:rPr>
          <w:rFonts w:hint="eastAsia" w:ascii="仿宋_GB2312" w:hAnsi="仿宋_GB2312" w:eastAsia="仿宋_GB2312" w:cs="仿宋_GB2312"/>
          <w:i w:val="0"/>
          <w:iCs w:val="0"/>
          <w:caps w:val="0"/>
          <w:color w:val="auto"/>
          <w:spacing w:val="0"/>
          <w:sz w:val="34"/>
          <w:szCs w:val="34"/>
          <w:u w:val="none"/>
          <w:shd w:val="clear" w:fill="FFFFFF"/>
        </w:rPr>
        <w:t>（三）进一步加大法治宣传。通过组织法律竞赛、</w:t>
      </w:r>
      <w:r>
        <w:rPr>
          <w:rFonts w:hint="eastAsia" w:ascii="仿宋_GB2312" w:hAnsi="仿宋_GB2312" w:eastAsia="仿宋_GB2312" w:cs="仿宋_GB2312"/>
          <w:i w:val="0"/>
          <w:iCs w:val="0"/>
          <w:caps w:val="0"/>
          <w:color w:val="auto"/>
          <w:spacing w:val="0"/>
          <w:sz w:val="34"/>
          <w:szCs w:val="34"/>
          <w:u w:val="none"/>
          <w:shd w:val="clear" w:fill="FFFFFF"/>
          <w:lang w:val="en-US" w:eastAsia="zh-CN"/>
        </w:rPr>
        <w:t>法律讲座</w:t>
      </w:r>
      <w:r>
        <w:rPr>
          <w:rFonts w:hint="eastAsia" w:ascii="仿宋_GB2312" w:hAnsi="仿宋_GB2312" w:eastAsia="仿宋_GB2312" w:cs="仿宋_GB2312"/>
          <w:i w:val="0"/>
          <w:iCs w:val="0"/>
          <w:caps w:val="0"/>
          <w:color w:val="auto"/>
          <w:spacing w:val="0"/>
          <w:sz w:val="34"/>
          <w:szCs w:val="34"/>
          <w:u w:val="none"/>
          <w:shd w:val="clear" w:fill="FFFFFF"/>
        </w:rPr>
        <w:t>等形式普及法治知识，深化推进依法行政、依法</w:t>
      </w:r>
      <w:r>
        <w:rPr>
          <w:rFonts w:hint="eastAsia" w:ascii="仿宋_GB2312" w:hAnsi="仿宋_GB2312" w:eastAsia="仿宋_GB2312" w:cs="仿宋_GB2312"/>
          <w:i w:val="0"/>
          <w:iCs w:val="0"/>
          <w:caps w:val="0"/>
          <w:color w:val="auto"/>
          <w:spacing w:val="0"/>
          <w:sz w:val="34"/>
          <w:szCs w:val="34"/>
          <w:u w:val="none"/>
          <w:shd w:val="clear" w:fill="FFFFFF"/>
          <w:lang w:val="en-US" w:eastAsia="zh-CN"/>
        </w:rPr>
        <w:t>财政</w:t>
      </w:r>
      <w:r>
        <w:rPr>
          <w:rFonts w:hint="eastAsia" w:ascii="仿宋_GB2312" w:hAnsi="仿宋_GB2312" w:eastAsia="仿宋_GB2312" w:cs="仿宋_GB2312"/>
          <w:i w:val="0"/>
          <w:iCs w:val="0"/>
          <w:caps w:val="0"/>
          <w:color w:val="auto"/>
          <w:spacing w:val="0"/>
          <w:sz w:val="34"/>
          <w:szCs w:val="34"/>
          <w:u w:val="none"/>
          <w:shd w:val="clear" w:fill="FFFFFF"/>
        </w:rPr>
        <w:t>。不断创新法治宣传方式，发挥协同办公系统、微信等即时通讯工具和社交网络工具的积极作用，不断提升工作效率，全方位推进依法治市宣传教育，努力营造浓郁法治工作氛围。</w:t>
      </w:r>
    </w:p>
    <w:p w14:paraId="6216E84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left"/>
        <w:rPr>
          <w:rFonts w:hint="eastAsia" w:ascii="仿宋_GB2312" w:hAnsi="仿宋_GB2312" w:eastAsia="仿宋_GB2312" w:cs="仿宋_GB2312"/>
          <w:i w:val="0"/>
          <w:iCs w:val="0"/>
          <w:caps w:val="0"/>
          <w:color w:val="auto"/>
          <w:spacing w:val="0"/>
          <w:sz w:val="34"/>
          <w:szCs w:val="34"/>
          <w:u w:val="none"/>
          <w:shd w:val="clear" w:fill="FFFFFF"/>
        </w:rPr>
      </w:pPr>
    </w:p>
    <w:p w14:paraId="60FDAEC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left"/>
        <w:rPr>
          <w:rFonts w:hint="eastAsia" w:ascii="仿宋_GB2312" w:hAnsi="仿宋_GB2312" w:eastAsia="仿宋_GB2312" w:cs="仿宋_GB2312"/>
          <w:i w:val="0"/>
          <w:iCs w:val="0"/>
          <w:caps w:val="0"/>
          <w:color w:val="auto"/>
          <w:spacing w:val="0"/>
          <w:sz w:val="34"/>
          <w:szCs w:val="34"/>
          <w:u w:val="none"/>
          <w:shd w:val="clear" w:fill="FFFFFF"/>
        </w:rPr>
      </w:pPr>
    </w:p>
    <w:p w14:paraId="5034EF4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left"/>
        <w:rPr>
          <w:rFonts w:hint="eastAsia" w:ascii="仿宋_GB2312" w:hAnsi="仿宋_GB2312" w:eastAsia="仿宋_GB2312" w:cs="仿宋_GB2312"/>
          <w:i w:val="0"/>
          <w:iCs w:val="0"/>
          <w:caps w:val="0"/>
          <w:color w:val="auto"/>
          <w:spacing w:val="0"/>
          <w:sz w:val="34"/>
          <w:szCs w:val="34"/>
          <w:u w:val="none"/>
          <w:shd w:val="clear" w:fill="FFFFFF"/>
        </w:rPr>
      </w:pPr>
      <w:bookmarkStart w:id="0" w:name="_GoBack"/>
      <w:bookmarkEnd w:id="0"/>
    </w:p>
    <w:p w14:paraId="5D13A2E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20"/>
        <w:jc w:val="left"/>
        <w:rPr>
          <w:rFonts w:hint="eastAsia" w:ascii="仿宋_GB2312" w:hAnsi="仿宋_GB2312" w:eastAsia="仿宋_GB2312" w:cs="仿宋_GB2312"/>
          <w:i w:val="0"/>
          <w:iCs w:val="0"/>
          <w:caps w:val="0"/>
          <w:color w:val="auto"/>
          <w:spacing w:val="0"/>
          <w:sz w:val="34"/>
          <w:szCs w:val="34"/>
          <w:u w:val="none"/>
          <w:shd w:val="clear" w:fill="FFFFFF"/>
        </w:rPr>
      </w:pPr>
    </w:p>
    <w:p w14:paraId="300EC7CB">
      <w:pPr>
        <w:pStyle w:val="2"/>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蛟河市财政局</w:t>
      </w:r>
    </w:p>
    <w:p w14:paraId="43AC5110">
      <w:pPr>
        <w:pStyle w:val="2"/>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2025年2月10日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D78B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B8067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B80672">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jMWQxNzEzMDU3YmY5YmFmNDcwMWI0MDk2YjJmYTgifQ=="/>
    <w:docVar w:name="KSO_WPS_MARK_KEY" w:val="c4ce1f7b-7cb7-4de7-9a88-cf60b89cd641"/>
  </w:docVars>
  <w:rsids>
    <w:rsidRoot w:val="17742681"/>
    <w:rsid w:val="00EB7E60"/>
    <w:rsid w:val="01423F24"/>
    <w:rsid w:val="06F51A39"/>
    <w:rsid w:val="0865499C"/>
    <w:rsid w:val="0ACE6364"/>
    <w:rsid w:val="0B635234"/>
    <w:rsid w:val="0BBA0B5B"/>
    <w:rsid w:val="0E59465B"/>
    <w:rsid w:val="0E8A6F0A"/>
    <w:rsid w:val="0EE24651"/>
    <w:rsid w:val="160A26DF"/>
    <w:rsid w:val="17742681"/>
    <w:rsid w:val="187529D9"/>
    <w:rsid w:val="1EE937D9"/>
    <w:rsid w:val="200C59D1"/>
    <w:rsid w:val="219F63D1"/>
    <w:rsid w:val="244B45EE"/>
    <w:rsid w:val="2B6E5792"/>
    <w:rsid w:val="2E1D0A29"/>
    <w:rsid w:val="31807FCD"/>
    <w:rsid w:val="32AE2918"/>
    <w:rsid w:val="34E70363"/>
    <w:rsid w:val="35E76CF9"/>
    <w:rsid w:val="366C4FC4"/>
    <w:rsid w:val="378B147A"/>
    <w:rsid w:val="37B502A5"/>
    <w:rsid w:val="3BAE243C"/>
    <w:rsid w:val="4004626D"/>
    <w:rsid w:val="40D519B8"/>
    <w:rsid w:val="41676AB4"/>
    <w:rsid w:val="42A67168"/>
    <w:rsid w:val="43707776"/>
    <w:rsid w:val="44A65B45"/>
    <w:rsid w:val="50A56CB1"/>
    <w:rsid w:val="51453D8A"/>
    <w:rsid w:val="515B7CB7"/>
    <w:rsid w:val="52D73920"/>
    <w:rsid w:val="534D53DE"/>
    <w:rsid w:val="56927CD7"/>
    <w:rsid w:val="5D9F2CDA"/>
    <w:rsid w:val="60A46F85"/>
    <w:rsid w:val="61C96577"/>
    <w:rsid w:val="681A3FD0"/>
    <w:rsid w:val="68C1444C"/>
    <w:rsid w:val="690A5DF3"/>
    <w:rsid w:val="6A3446C5"/>
    <w:rsid w:val="6A7774B8"/>
    <w:rsid w:val="6AD9782B"/>
    <w:rsid w:val="6B76151E"/>
    <w:rsid w:val="6E895A0C"/>
    <w:rsid w:val="6F2A47CA"/>
    <w:rsid w:val="710E02D9"/>
    <w:rsid w:val="75973F1C"/>
    <w:rsid w:val="787B0173"/>
    <w:rsid w:val="7C232FFC"/>
    <w:rsid w:val="7E7A7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qFormat/>
    <w:uiPriority w:val="99"/>
    <w:pPr>
      <w:jc w:val="center"/>
      <w:outlineLvl w:val="0"/>
    </w:pPr>
    <w:rPr>
      <w:rFonts w:ascii="Arial" w:hAnsi="Arial" w:cs="Arial"/>
      <w:b/>
      <w:bCs/>
      <w:sz w:val="32"/>
      <w:szCs w:val="32"/>
    </w:rPr>
  </w:style>
  <w:style w:type="paragraph" w:styleId="3">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9">
    <w:name w:val="p1"/>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1791</Words>
  <Characters>1830</Characters>
  <Lines>0</Lines>
  <Paragraphs>0</Paragraphs>
  <TotalTime>2</TotalTime>
  <ScaleCrop>false</ScaleCrop>
  <LinksUpToDate>false</LinksUpToDate>
  <CharactersWithSpaces>1893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2024-01-08T05:18:00Z</dcterms:created>
  <dc:creator>胜男的迷弟.</dc:creator>
  <cp:lastModifiedBy>lenovo</cp:lastModifiedBy>
  <cp:lastPrinted>2024-01-10T01:20:00Z</cp:lastPrinted>
  <dcterms:modified xsi:type="dcterms:W3CDTF">2025-02-11T00:44:02Z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7D379CA703FC4C02BB50C19BD96BC294_13</vt:lpwstr>
  </property>
</Properties>
</file>