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黑体" w:eastAsia="黑体" w:cs="黑体"/>
          <w:sz w:val="32"/>
          <w:szCs w:val="32"/>
          <w:lang w:val="en-US" w:eastAsia="zh-CN"/>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根据《中华人民共和国政府信息公开条例》规定，现公布</w:t>
      </w:r>
      <w:r>
        <w:rPr>
          <w:rFonts w:hint="eastAsia" w:ascii="宋体" w:hAnsi="宋体" w:eastAsia="宋体" w:cs="宋体"/>
          <w:sz w:val="24"/>
          <w:szCs w:val="24"/>
          <w:lang w:eastAsia="zh-CN"/>
        </w:rPr>
        <w:t>蛟河市财政局</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年度</w:t>
      </w:r>
      <w:r>
        <w:rPr>
          <w:rFonts w:hint="eastAsia" w:ascii="宋体" w:hAnsi="宋体" w:eastAsia="宋体" w:cs="宋体"/>
          <w:sz w:val="24"/>
          <w:szCs w:val="24"/>
        </w:rPr>
        <w:t>政府信息公开工作年度报告。</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蛟河市财政局</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年在蛟河市人民政府网站主动公开文件共计</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个，未接到依申请公开申请。</w:t>
      </w:r>
    </w:p>
    <w:p>
      <w:pPr>
        <w:ind w:firstLine="480" w:firstLineChars="200"/>
        <w:rPr>
          <w:rFonts w:ascii="宋体" w:eastAsia="宋体" w:cs="宋体"/>
          <w:sz w:val="24"/>
          <w:szCs w:val="24"/>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市财政局紧紧围绕市委、市政府决策部署，把政府信息公开工作作为密切联系群众，转变工作作风，促进工作落实的重要举措，及时主动向社会公开经济社会发展有关政策和措施，信息公开年度各项工作有序推进。市财政局及时更新了政府信息公开指南和完善了公开目录的</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条信息，全年政府网站上主动公开政府信息数量</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条。加强政府信息管理，提高平台建设水平，推进重点领域政府信息公开。市财政局进一步细化主动公开工作流程，将需要公开的信息、文件上传至蛟河市人民政府网站。</w:t>
      </w:r>
    </w:p>
    <w:p>
      <w:pPr>
        <w:ind w:firstLine="482" w:firstLineChars="200"/>
        <w:rPr>
          <w:rFonts w:ascii="宋体" w:eastAsia="宋体" w:cs="宋体"/>
          <w:b/>
          <w:bCs/>
          <w:sz w:val="24"/>
          <w:szCs w:val="24"/>
        </w:rPr>
      </w:pPr>
      <w:r>
        <w:rPr>
          <w:rFonts w:hint="eastAsia" w:ascii="宋体" w:eastAsia="宋体" w:cs="宋体"/>
          <w:b/>
          <w:bCs/>
          <w:sz w:val="24"/>
          <w:szCs w:val="24"/>
        </w:rPr>
        <w:t>二、主动公开政府信息情况</w:t>
      </w:r>
    </w:p>
    <w:tbl>
      <w:tblPr>
        <w:tblStyle w:val="3"/>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61"/>
        <w:gridCol w:w="2184"/>
        <w:gridCol w:w="2184"/>
        <w:gridCol w:w="2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c>
          <w:tcPr>
            <w:tcW w:w="2184"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0"/>
                <w:szCs w:val="20"/>
                <w:lang w:val="en-US" w:eastAsia="zh-CN"/>
              </w:rPr>
            </w:pPr>
            <w:r>
              <w:rPr>
                <w:rFonts w:hint="eastAsia" w:ascii="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ascii="宋体" w:eastAsia="宋体" w:cs="宋体"/>
                <w:kern w:val="0"/>
                <w:sz w:val="20"/>
                <w:szCs w:val="20"/>
                <w:lang w:val="en-US" w:eastAsia="zh-CN"/>
              </w:rPr>
            </w:pPr>
            <w:r>
              <w:rPr>
                <w:rFonts w:hint="eastAsia" w:ascii="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c>
          <w:tcPr>
            <w:tcW w:w="2184"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left w:w="108" w:type="dxa"/>
              <w:right w:w="108" w:type="dxa"/>
            </w:tcMar>
            <w:vAlign w:val="center"/>
          </w:tcPr>
          <w:p>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r>
    </w:tbl>
    <w:p>
      <w:pPr>
        <w:numPr>
          <w:ilvl w:val="0"/>
          <w:numId w:val="1"/>
        </w:numPr>
        <w:ind w:left="0" w:firstLine="482" w:firstLineChars="200"/>
        <w:rPr>
          <w:rFonts w:ascii="宋体" w:eastAsia="宋体" w:cs="宋体"/>
          <w:b/>
          <w:bCs/>
          <w:sz w:val="24"/>
          <w:szCs w:val="24"/>
        </w:rPr>
      </w:pPr>
      <w:r>
        <w:rPr>
          <w:rFonts w:hint="eastAsia" w:ascii="宋体" w:eastAsia="宋体" w:cs="宋体"/>
          <w:b/>
          <w:bCs/>
          <w:sz w:val="24"/>
          <w:szCs w:val="24"/>
        </w:rPr>
        <w:t>收到和处理政府信息公开申请情况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7"/>
        <w:gridCol w:w="846"/>
        <w:gridCol w:w="1886"/>
        <w:gridCol w:w="1056"/>
        <w:gridCol w:w="685"/>
        <w:gridCol w:w="685"/>
        <w:gridCol w:w="820"/>
        <w:gridCol w:w="769"/>
        <w:gridCol w:w="650"/>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jc w:val="center"/>
        </w:trPr>
        <w:tc>
          <w:tcPr>
            <w:tcW w:w="3349" w:type="dxa"/>
            <w:gridSpan w:val="3"/>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宋体" w:eastAsia="宋体" w:cs="宋体"/>
                <w:kern w:val="0"/>
                <w:sz w:val="24"/>
                <w:szCs w:val="24"/>
              </w:rPr>
            </w:pPr>
            <w:r>
              <w:rPr>
                <w:rFonts w:hint="eastAsia" w:ascii="楷体" w:eastAsia="楷体" w:cs="楷体"/>
                <w:kern w:val="0"/>
                <w:sz w:val="20"/>
                <w:szCs w:val="20"/>
              </w:rPr>
              <w:t>（本列数据的勾稽关系为：第一项加第二项之和，等于第三项加第四项之和）</w:t>
            </w:r>
          </w:p>
        </w:tc>
        <w:tc>
          <w:tcPr>
            <w:tcW w:w="5722" w:type="dxa"/>
            <w:gridSpan w:val="7"/>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tc>
        <w:tc>
          <w:tcPr>
            <w:tcW w:w="1056"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hint="eastAsia" w:ascii="宋体" w:eastAsia="宋体" w:cs="宋体"/>
                <w:kern w:val="0"/>
                <w:sz w:val="20"/>
                <w:szCs w:val="20"/>
              </w:rPr>
            </w:pPr>
            <w:r>
              <w:rPr>
                <w:rFonts w:hint="eastAsia" w:ascii="宋体" w:eastAsia="宋体" w:cs="宋体"/>
                <w:kern w:val="0"/>
                <w:sz w:val="20"/>
                <w:szCs w:val="20"/>
              </w:rPr>
              <w:t>自</w:t>
            </w:r>
          </w:p>
          <w:p>
            <w:pPr>
              <w:widowControl/>
              <w:jc w:val="center"/>
              <w:rPr>
                <w:rFonts w:hint="eastAsia" w:ascii="宋体" w:eastAsia="宋体" w:cs="宋体"/>
                <w:kern w:val="0"/>
                <w:sz w:val="20"/>
                <w:szCs w:val="20"/>
              </w:rPr>
            </w:pPr>
            <w:r>
              <w:rPr>
                <w:rFonts w:hint="eastAsia" w:ascii="宋体" w:eastAsia="宋体" w:cs="宋体"/>
                <w:kern w:val="0"/>
                <w:sz w:val="20"/>
                <w:szCs w:val="20"/>
              </w:rPr>
              <w:t>然</w:t>
            </w:r>
          </w:p>
          <w:p>
            <w:pPr>
              <w:widowControl/>
              <w:jc w:val="center"/>
              <w:rPr>
                <w:rFonts w:ascii="宋体" w:eastAsia="宋体" w:cs="宋体"/>
                <w:kern w:val="0"/>
                <w:sz w:val="24"/>
                <w:szCs w:val="24"/>
              </w:rPr>
            </w:pPr>
            <w:r>
              <w:rPr>
                <w:rFonts w:hint="eastAsia" w:ascii="宋体" w:eastAsia="宋体" w:cs="宋体"/>
                <w:kern w:val="0"/>
                <w:sz w:val="20"/>
                <w:szCs w:val="20"/>
              </w:rPr>
              <w:t>人</w:t>
            </w:r>
          </w:p>
        </w:tc>
        <w:tc>
          <w:tcPr>
            <w:tcW w:w="3609" w:type="dxa"/>
            <w:gridSpan w:val="5"/>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法人或其他组织</w:t>
            </w:r>
          </w:p>
        </w:tc>
        <w:tc>
          <w:tcPr>
            <w:tcW w:w="1057"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tc>
        <w:tc>
          <w:tcPr>
            <w:tcW w:w="1056" w:type="dxa"/>
            <w:vMerge w:val="continue"/>
            <w:tcBorders>
              <w:top w:val="single" w:color="auto" w:sz="4" w:space="0"/>
              <w:left w:val="single" w:color="auto" w:sz="4" w:space="0"/>
              <w:bottom w:val="single" w:color="auto" w:sz="4" w:space="0"/>
              <w:right w:val="single" w:color="auto" w:sz="4" w:space="0"/>
            </w:tcBorders>
            <w:vAlign w:val="center"/>
          </w:tcPr>
          <w:p/>
        </w:tc>
        <w:tc>
          <w:tcPr>
            <w:tcW w:w="68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商业企业</w:t>
            </w:r>
          </w:p>
        </w:tc>
        <w:tc>
          <w:tcPr>
            <w:tcW w:w="68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科研机构</w:t>
            </w:r>
          </w:p>
        </w:tc>
        <w:tc>
          <w:tcPr>
            <w:tcW w:w="820"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社会公益组织</w:t>
            </w:r>
          </w:p>
        </w:tc>
        <w:tc>
          <w:tcPr>
            <w:tcW w:w="769"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法律服务机构</w:t>
            </w:r>
          </w:p>
        </w:tc>
        <w:tc>
          <w:tcPr>
            <w:tcW w:w="650"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其他</w:t>
            </w:r>
          </w:p>
        </w:tc>
        <w:tc>
          <w:tcPr>
            <w:vMerge w:val="continue"/>
            <w:tcBorders>
              <w:top w:val="single" w:color="auto" w:sz="8" w:space="0"/>
              <w:left w:val="nil"/>
              <w:bottom w:val="single" w:color="auto" w:sz="8" w:space="0"/>
              <w:right w:val="single" w:color="auto" w:sz="8"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3349" w:type="dxa"/>
            <w:gridSpan w:val="3"/>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一、本年新收政府信息公开申请数量</w:t>
            </w:r>
          </w:p>
        </w:tc>
        <w:tc>
          <w:tcPr>
            <w:tcW w:w="1056" w:type="dxa"/>
            <w:tcBorders>
              <w:top w:val="single" w:color="auto" w:sz="4" w:space="0"/>
              <w:left w:val="nil"/>
              <w:bottom w:val="single" w:color="auto" w:sz="8" w:space="0"/>
              <w:right w:val="single" w:color="auto" w:sz="8" w:space="0"/>
            </w:tcBorders>
            <w:tcMar>
              <w:left w:w="108" w:type="dxa"/>
              <w:right w:w="108" w:type="dxa"/>
            </w:tcMar>
            <w:vAlign w:val="center"/>
          </w:tcPr>
          <w:p>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single" w:color="auto" w:sz="4" w:space="0"/>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single" w:color="auto" w:sz="4" w:space="0"/>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3349"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二、上年结转政府信息公开申请数量</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Cs w:val="24"/>
                <w:lang w:val="en-US" w:eastAsia="zh-CN"/>
              </w:rPr>
            </w:pPr>
            <w:r>
              <w:rPr>
                <w:rFonts w:hint="eastAsia" w:ascii="宋体" w:cs="宋体"/>
                <w:kern w:val="0"/>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p>
          <w:p>
            <w:pPr>
              <w:widowControl/>
              <w:rPr>
                <w:rFonts w:hint="eastAsia" w:ascii="宋体" w:eastAsia="宋体" w:cs="宋体"/>
                <w:kern w:val="0"/>
                <w:sz w:val="20"/>
                <w:szCs w:val="20"/>
              </w:rPr>
            </w:pPr>
            <w:r>
              <w:rPr>
                <w:rFonts w:hint="eastAsia" w:ascii="宋体" w:eastAsia="宋体" w:cs="宋体"/>
                <w:kern w:val="0"/>
                <w:sz w:val="20"/>
                <w:szCs w:val="20"/>
              </w:rPr>
              <w:t>三、</w:t>
            </w:r>
          </w:p>
          <w:p>
            <w:pPr>
              <w:widowControl/>
              <w:rPr>
                <w:rFonts w:ascii="宋体" w:eastAsia="宋体" w:cs="宋体"/>
                <w:kern w:val="0"/>
                <w:sz w:val="24"/>
                <w:szCs w:val="24"/>
              </w:rPr>
            </w:pPr>
            <w:r>
              <w:rPr>
                <w:rFonts w:hint="eastAsia" w:ascii="宋体" w:eastAsia="宋体" w:cs="宋体"/>
                <w:kern w:val="0"/>
                <w:sz w:val="20"/>
                <w:szCs w:val="20"/>
              </w:rPr>
              <w:t>本年度办理结果</w:t>
            </w:r>
          </w:p>
        </w:tc>
        <w:tc>
          <w:tcPr>
            <w:tcW w:w="2732" w:type="dxa"/>
            <w:gridSpan w:val="2"/>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（一）予以公开</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tc>
        <w:tc>
          <w:tcPr>
            <w:tcW w:w="2732" w:type="dxa"/>
            <w:gridSpan w:val="2"/>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（二）部分公开</w:t>
            </w:r>
            <w:r>
              <w:rPr>
                <w:rFonts w:hint="eastAsia" w:ascii="楷体" w:eastAsia="楷体" w:cs="宋体"/>
                <w:kern w:val="0"/>
                <w:sz w:val="20"/>
                <w:szCs w:val="20"/>
              </w:rPr>
              <w:t>（区分处理的，只计这一情形，不计其他情形）</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vMerge w:val="continue"/>
            <w:tcBorders>
              <w:top w:val="nil"/>
              <w:left w:val="single" w:color="auto" w:sz="8" w:space="0"/>
              <w:bottom w:val="single" w:color="auto" w:sz="8" w:space="0"/>
              <w:right w:val="single" w:color="auto" w:sz="8" w:space="0"/>
            </w:tcBorders>
            <w:vAlign w:val="center"/>
          </w:tcPr>
          <w:p/>
        </w:tc>
        <w:tc>
          <w:tcPr>
            <w:tcW w:w="846" w:type="dxa"/>
            <w:vMerge w:val="restart"/>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cs="宋体"/>
                <w:kern w:val="0"/>
                <w:sz w:val="20"/>
                <w:szCs w:val="20"/>
              </w:rPr>
              <w:t>（三）不予公开</w:t>
            </w: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cs="宋体"/>
                <w:kern w:val="0"/>
                <w:sz w:val="24"/>
                <w:szCs w:val="24"/>
              </w:rPr>
            </w:pPr>
            <w:r>
              <w:rPr>
                <w:rFonts w:hint="eastAsia" w:ascii="宋体" w:cs="宋体"/>
                <w:kern w:val="0"/>
                <w:sz w:val="20"/>
                <w:szCs w:val="20"/>
              </w:rPr>
              <w:t>1.属于国家秘密</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cs="宋体"/>
                <w:kern w:val="0"/>
                <w:sz w:val="24"/>
                <w:szCs w:val="24"/>
              </w:rPr>
            </w:pPr>
            <w:r>
              <w:rPr>
                <w:rFonts w:hint="eastAsia" w:ascii="宋体" w:cs="宋体"/>
                <w:kern w:val="0"/>
                <w:sz w:val="20"/>
                <w:szCs w:val="20"/>
              </w:rPr>
              <w:t>2.其他法律行政法规禁止公开</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cs="宋体"/>
                <w:kern w:val="0"/>
                <w:sz w:val="24"/>
                <w:szCs w:val="24"/>
              </w:rPr>
            </w:pPr>
            <w:r>
              <w:rPr>
                <w:rFonts w:hint="eastAsia" w:ascii="宋体" w:cs="宋体"/>
                <w:kern w:val="0"/>
                <w:sz w:val="20"/>
                <w:szCs w:val="20"/>
              </w:rPr>
              <w:t>3.危及“三安全一稳定”</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cs="宋体"/>
                <w:kern w:val="0"/>
                <w:sz w:val="24"/>
                <w:szCs w:val="24"/>
              </w:rPr>
            </w:pPr>
            <w:r>
              <w:rPr>
                <w:rFonts w:hint="eastAsia" w:ascii="宋体" w:cs="宋体"/>
                <w:kern w:val="0"/>
                <w:sz w:val="20"/>
                <w:szCs w:val="20"/>
              </w:rPr>
              <w:t>4.保护第三方合法权益</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cs="宋体"/>
                <w:kern w:val="0"/>
                <w:sz w:val="24"/>
                <w:szCs w:val="24"/>
              </w:rPr>
            </w:pPr>
            <w:r>
              <w:rPr>
                <w:rFonts w:hint="eastAsia" w:ascii="宋体" w:cs="宋体"/>
                <w:kern w:val="0"/>
                <w:sz w:val="20"/>
                <w:szCs w:val="20"/>
              </w:rPr>
              <w:t>5.属于三类内部事务信息</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cs="宋体"/>
                <w:kern w:val="0"/>
                <w:sz w:val="24"/>
                <w:szCs w:val="24"/>
              </w:rPr>
            </w:pPr>
            <w:r>
              <w:rPr>
                <w:rFonts w:hint="eastAsia" w:ascii="宋体" w:cs="宋体"/>
                <w:kern w:val="0"/>
                <w:sz w:val="20"/>
                <w:szCs w:val="20"/>
              </w:rPr>
              <w:t>6.属于四类过程性信息</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cs="宋体"/>
                <w:kern w:val="0"/>
                <w:sz w:val="24"/>
                <w:szCs w:val="24"/>
              </w:rPr>
            </w:pPr>
            <w:r>
              <w:rPr>
                <w:rFonts w:hint="eastAsia" w:ascii="宋体" w:cs="宋体"/>
                <w:kern w:val="0"/>
                <w:sz w:val="20"/>
                <w:szCs w:val="20"/>
              </w:rPr>
              <w:t>7.属于行政执法案卷</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cs="宋体"/>
                <w:kern w:val="0"/>
                <w:sz w:val="24"/>
                <w:szCs w:val="24"/>
              </w:rPr>
            </w:pPr>
            <w:r>
              <w:rPr>
                <w:rFonts w:hint="eastAsia" w:ascii="宋体" w:cs="宋体"/>
                <w:kern w:val="0"/>
                <w:sz w:val="20"/>
                <w:szCs w:val="20"/>
              </w:rPr>
              <w:t>8.属于行政查询事项</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tc>
        <w:tc>
          <w:tcPr>
            <w:tcW w:w="846" w:type="dxa"/>
            <w:vMerge w:val="restart"/>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（四）无法提供</w:t>
            </w: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1.本机关不掌握相关政府信息</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Calibri" w:hAnsi="Calibri" w:eastAsia="宋体" w:cs="Calibri"/>
                <w:kern w:val="0"/>
                <w:sz w:val="20"/>
                <w:szCs w:val="20"/>
                <w:lang w:val="en-US" w:eastAsia="zh-CN" w:bidi="ar-SA"/>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2.没有现成信息需要另行制作</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3.补正后申请内容仍不明确</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vMerge w:val="continue"/>
            <w:tcBorders>
              <w:top w:val="nil"/>
              <w:left w:val="single" w:color="auto" w:sz="8" w:space="0"/>
              <w:bottom w:val="single" w:color="auto" w:sz="8" w:space="0"/>
              <w:right w:val="single" w:color="auto" w:sz="8" w:space="0"/>
            </w:tcBorders>
            <w:vAlign w:val="center"/>
          </w:tcPr>
          <w:p/>
        </w:tc>
        <w:tc>
          <w:tcPr>
            <w:tcW w:w="846" w:type="dxa"/>
            <w:vMerge w:val="restart"/>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（五）不予处理</w:t>
            </w: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1.信访举报投诉类申请</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2.重复申请</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3.要求提供公开出版物</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4.无正当理由大量反复申请</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bookmarkStart w:id="0" w:name="_GoBack"/>
            <w:bookmarkEnd w:id="0"/>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1" w:hRule="atLeast"/>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5.要求行政机关确认或重新出具已获取信息</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vMerge w:val="continue"/>
            <w:tcBorders>
              <w:top w:val="nil"/>
              <w:left w:val="single" w:color="auto" w:sz="8" w:space="0"/>
              <w:bottom w:val="single" w:color="auto" w:sz="8" w:space="0"/>
              <w:right w:val="single" w:color="auto" w:sz="8" w:space="0"/>
            </w:tcBorders>
            <w:vAlign w:val="center"/>
          </w:tcPr>
          <w:p/>
        </w:tc>
        <w:tc>
          <w:tcPr>
            <w:tcW w:w="846" w:type="dxa"/>
            <w:vMerge w:val="restart"/>
            <w:tcBorders>
              <w:top w:val="nil"/>
              <w:left w:val="nil"/>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（六）其他处理</w:t>
            </w: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0"/>
                <w:szCs w:val="20"/>
              </w:rPr>
            </w:pPr>
            <w:r>
              <w:rPr>
                <w:rFonts w:hint="eastAsia" w:ascii="宋体" w:eastAsia="宋体" w:cs="宋体"/>
                <w:kern w:val="0"/>
                <w:sz w:val="20"/>
                <w:szCs w:val="20"/>
              </w:rPr>
              <w:t>1.申请人无正当理由逾期不补正、行政机关不再处理其政府信息公开申请</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vMerge w:val="continue"/>
            <w:tcBorders>
              <w:top w:val="nil"/>
              <w:left w:val="single" w:color="auto" w:sz="8" w:space="0"/>
              <w:bottom w:val="single" w:color="auto" w:sz="8" w:space="0"/>
              <w:right w:val="single" w:color="auto" w:sz="8" w:space="0"/>
            </w:tcBorders>
            <w:vAlign w:val="center"/>
          </w:tcPr>
          <w:p/>
        </w:tc>
        <w:tc>
          <w:tcPr>
            <w:tcW w:w="846" w:type="dxa"/>
            <w:vMerge w:val="continue"/>
            <w:tcBorders>
              <w:left w:val="nil"/>
              <w:right w:val="single" w:color="auto" w:sz="8" w:space="0"/>
            </w:tcBorders>
            <w:tcMar>
              <w:left w:w="108" w:type="dxa"/>
              <w:right w:w="108" w:type="dxa"/>
            </w:tcMar>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0"/>
                <w:szCs w:val="20"/>
              </w:rPr>
            </w:pPr>
            <w:r>
              <w:rPr>
                <w:rFonts w:hint="eastAsia" w:ascii="宋体" w:eastAsia="宋体" w:cs="宋体"/>
                <w:kern w:val="0"/>
                <w:sz w:val="20"/>
                <w:szCs w:val="20"/>
              </w:rPr>
              <w:t>2.申请人逾期未按收费通知要求缴纳费用、行政机关不再处理其政府信息公开申请</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vMerge w:val="continue"/>
            <w:tcBorders>
              <w:top w:val="nil"/>
              <w:left w:val="single" w:color="auto" w:sz="8" w:space="0"/>
              <w:bottom w:val="single" w:color="auto" w:sz="8" w:space="0"/>
              <w:right w:val="single" w:color="auto" w:sz="8" w:space="0"/>
            </w:tcBorders>
            <w:vAlign w:val="center"/>
          </w:tcPr>
          <w:p/>
        </w:tc>
        <w:tc>
          <w:tcPr>
            <w:tcW w:w="846" w:type="dxa"/>
            <w:vMerge w:val="continue"/>
            <w:tcBorders>
              <w:left w:val="nil"/>
              <w:bottom w:val="single" w:color="auto" w:sz="8" w:space="0"/>
              <w:right w:val="single" w:color="auto" w:sz="8" w:space="0"/>
            </w:tcBorders>
            <w:tcMar>
              <w:left w:w="108" w:type="dxa"/>
              <w:right w:w="108" w:type="dxa"/>
            </w:tcMar>
            <w:vAlign w:val="center"/>
          </w:tcPr>
          <w:p/>
        </w:tc>
        <w:tc>
          <w:tcPr>
            <w:tcW w:w="188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0"/>
                <w:szCs w:val="20"/>
              </w:rPr>
            </w:pPr>
            <w:r>
              <w:rPr>
                <w:rFonts w:hint="eastAsia" w:ascii="宋体" w:eastAsia="宋体" w:cs="宋体"/>
                <w:kern w:val="0"/>
                <w:sz w:val="20"/>
                <w:szCs w:val="20"/>
              </w:rPr>
              <w:t>3.其他</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vMerge w:val="continue"/>
            <w:tcBorders>
              <w:top w:val="nil"/>
              <w:left w:val="single" w:color="auto" w:sz="8" w:space="0"/>
              <w:bottom w:val="single" w:color="auto" w:sz="8" w:space="0"/>
              <w:right w:val="single" w:color="auto" w:sz="8" w:space="0"/>
            </w:tcBorders>
            <w:vAlign w:val="center"/>
          </w:tcPr>
          <w:p/>
        </w:tc>
        <w:tc>
          <w:tcPr>
            <w:tcW w:w="2732" w:type="dxa"/>
            <w:gridSpan w:val="2"/>
            <w:tcBorders>
              <w:top w:val="nil"/>
              <w:left w:val="nil"/>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（七）总计</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Calibri" w:hAnsi="Calibri" w:eastAsia="宋体" w:cs="Calibri"/>
                <w:kern w:val="0"/>
                <w:sz w:val="20"/>
                <w:szCs w:val="20"/>
                <w:lang w:val="en-US" w:eastAsia="zh-CN"/>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3349"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ascii="宋体" w:eastAsia="宋体" w:cs="宋体"/>
                <w:kern w:val="0"/>
                <w:sz w:val="24"/>
                <w:szCs w:val="24"/>
              </w:rPr>
            </w:pPr>
            <w:r>
              <w:rPr>
                <w:rFonts w:hint="eastAsia" w:ascii="宋体" w:eastAsia="宋体" w:cs="宋体"/>
                <w:kern w:val="0"/>
                <w:sz w:val="20"/>
                <w:szCs w:val="20"/>
              </w:rPr>
              <w:t>四、结转下年度继续办理</w:t>
            </w:r>
          </w:p>
        </w:tc>
        <w:tc>
          <w:tcPr>
            <w:tcW w:w="105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r>
    </w:tbl>
    <w:p>
      <w:pPr>
        <w:numPr>
          <w:ilvl w:val="0"/>
          <w:numId w:val="1"/>
        </w:numPr>
        <w:ind w:left="0" w:firstLine="482" w:firstLineChars="200"/>
        <w:rPr>
          <w:rFonts w:ascii="宋体" w:eastAsia="宋体" w:cs="宋体"/>
          <w:b/>
          <w:bCs/>
          <w:sz w:val="24"/>
          <w:szCs w:val="24"/>
        </w:rPr>
      </w:pPr>
      <w:r>
        <w:rPr>
          <w:rFonts w:hint="eastAsia" w:ascii="宋体" w:eastAsia="宋体" w:cs="宋体"/>
          <w:b/>
          <w:bCs/>
          <w:sz w:val="24"/>
          <w:szCs w:val="24"/>
        </w:rPr>
        <w:t>政府信息公开行政复议、行政诉讼情况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tc>
        <w:tc>
          <w:tcPr>
            <w:vMerge w:val="continue"/>
            <w:tcBorders>
              <w:top w:val="nil"/>
              <w:left w:val="nil"/>
              <w:bottom w:val="single" w:color="auto" w:sz="8" w:space="0"/>
              <w:right w:val="single" w:color="auto" w:sz="8" w:space="0"/>
            </w:tcBorders>
            <w:vAlign w:val="center"/>
          </w:tcPr>
          <w:p/>
        </w:tc>
        <w:tc>
          <w:tcPr>
            <w:vMerge w:val="continue"/>
            <w:tcBorders>
              <w:top w:val="single" w:color="auto" w:sz="8" w:space="0"/>
              <w:left w:val="nil"/>
              <w:bottom w:val="single" w:color="auto" w:sz="8" w:space="0"/>
              <w:right w:val="single" w:color="auto" w:sz="8" w:space="0"/>
            </w:tcBorders>
            <w:vAlign w:val="center"/>
          </w:tcPr>
          <w:p/>
        </w:tc>
        <w:tc>
          <w:tcPr>
            <w:vMerge w:val="continue"/>
            <w:tcBorders>
              <w:top w:val="single" w:color="auto" w:sz="8" w:space="0"/>
              <w:left w:val="nil"/>
              <w:bottom w:val="single" w:color="auto" w:sz="8" w:space="0"/>
              <w:right w:val="single" w:color="auto" w:sz="8" w:space="0"/>
            </w:tcBorders>
            <w:vAlign w:val="center"/>
          </w:tcPr>
          <w:p/>
        </w:tc>
        <w:tc>
          <w:tcPr>
            <w:vMerge w:val="continue"/>
            <w:tcBorders>
              <w:top w:val="single" w:color="auto" w:sz="8" w:space="0"/>
              <w:left w:val="nil"/>
              <w:bottom w:val="single" w:color="auto" w:sz="8" w:space="0"/>
              <w:right w:val="single" w:color="auto" w:sz="8" w:space="0"/>
            </w:tcBorders>
            <w:vAlign w:val="center"/>
          </w:tcPr>
          <w:p/>
        </w:tc>
        <w:tc>
          <w:tcPr>
            <w:tcW w:w="550"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eastAsia="宋体" w:cs="宋体"/>
                <w:kern w:val="0"/>
                <w:sz w:val="24"/>
                <w:szCs w:val="24"/>
              </w:rPr>
            </w:pPr>
            <w:r>
              <w:rPr>
                <w:rFonts w:hint="eastAsia" w:ascii="宋体" w:eastAsia="宋体" w:cs="宋体"/>
                <w:color w:val="000000"/>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eastAsia" w:ascii="宋体" w:eastAsia="宋体" w:cs="宋体"/>
                <w:kern w:val="0"/>
                <w:sz w:val="20"/>
                <w:szCs w:val="20"/>
                <w:lang w:val="en-US" w:eastAsia="zh-CN"/>
              </w:rPr>
            </w:pPr>
            <w:r>
              <w:rPr>
                <w:rFonts w:hint="eastAsia" w:ascii="宋体" w:cs="宋体"/>
                <w:kern w:val="0"/>
                <w:sz w:val="20"/>
                <w:szCs w:val="20"/>
                <w:lang w:val="en-US" w:eastAsia="zh-CN"/>
              </w:rPr>
              <w:t>0</w:t>
            </w:r>
          </w:p>
        </w:tc>
      </w:tr>
    </w:tbl>
    <w:p>
      <w:pPr>
        <w:ind w:firstLine="480" w:firstLineChars="200"/>
        <w:rPr>
          <w:rFonts w:ascii="宋体" w:eastAsia="宋体" w:cs="宋体"/>
          <w:sz w:val="24"/>
          <w:szCs w:val="24"/>
        </w:rPr>
      </w:pPr>
      <w:r>
        <w:rPr>
          <w:rFonts w:hint="eastAsia" w:ascii="宋体" w:eastAsia="宋体" w:cs="宋体"/>
          <w:sz w:val="24"/>
          <w:szCs w:val="24"/>
        </w:rPr>
        <w:t>五、</w:t>
      </w:r>
      <w:r>
        <w:rPr>
          <w:rFonts w:hint="eastAsia" w:ascii="宋体" w:eastAsia="宋体" w:cs="宋体"/>
          <w:b/>
          <w:bCs/>
          <w:sz w:val="24"/>
          <w:szCs w:val="24"/>
        </w:rPr>
        <w:t>存在的主要问题及改进情况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年度市财政局政府信息公开工作主要存在政务专栏信息公开格式不规范的问题，经修改完善，目前政务专栏信息公开格式不规范问题已整改完毕。</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本年度</w:t>
      </w:r>
      <w:r>
        <w:rPr>
          <w:rFonts w:hint="eastAsia" w:ascii="宋体" w:hAnsi="宋体" w:eastAsia="宋体" w:cs="宋体"/>
          <w:sz w:val="24"/>
          <w:szCs w:val="24"/>
          <w:lang w:eastAsia="zh-CN"/>
        </w:rPr>
        <w:t>市财政局</w:t>
      </w:r>
      <w:r>
        <w:rPr>
          <w:rFonts w:hint="eastAsia" w:ascii="宋体" w:hAnsi="宋体" w:eastAsia="宋体" w:cs="宋体"/>
          <w:sz w:val="24"/>
          <w:szCs w:val="24"/>
        </w:rPr>
        <w:t>设置政府信息公开查阅点数</w:t>
      </w:r>
      <w:r>
        <w:rPr>
          <w:rFonts w:hint="eastAsia" w:ascii="宋体" w:hAnsi="宋体" w:eastAsia="宋体" w:cs="宋体"/>
          <w:sz w:val="24"/>
          <w:szCs w:val="24"/>
          <w:lang w:val="en-US" w:eastAsia="zh-CN"/>
        </w:rPr>
        <w:t>1</w:t>
      </w:r>
      <w:r>
        <w:rPr>
          <w:rFonts w:hint="eastAsia" w:ascii="宋体" w:hAnsi="宋体" w:eastAsia="宋体" w:cs="宋体"/>
          <w:sz w:val="24"/>
          <w:szCs w:val="24"/>
        </w:rPr>
        <w:t>个</w:t>
      </w:r>
      <w:r>
        <w:rPr>
          <w:rFonts w:hint="eastAsia" w:ascii="宋体" w:hAnsi="宋体" w:eastAsia="宋体" w:cs="宋体"/>
          <w:sz w:val="24"/>
          <w:szCs w:val="24"/>
          <w:lang w:eastAsia="zh-CN"/>
        </w:rPr>
        <w:t>（局办公室）</w:t>
      </w:r>
      <w:r>
        <w:rPr>
          <w:rFonts w:hint="eastAsia" w:ascii="宋体" w:hAnsi="宋体" w:eastAsia="宋体" w:cs="宋体"/>
          <w:sz w:val="24"/>
          <w:szCs w:val="24"/>
        </w:rPr>
        <w:t>，兼职</w:t>
      </w:r>
      <w:r>
        <w:rPr>
          <w:rFonts w:hint="eastAsia" w:ascii="宋体" w:hAnsi="宋体" w:eastAsia="宋体" w:cs="宋体"/>
          <w:sz w:val="24"/>
          <w:szCs w:val="24"/>
          <w:lang w:eastAsia="zh-CN"/>
        </w:rPr>
        <w:t>具体</w:t>
      </w:r>
      <w:r>
        <w:rPr>
          <w:rFonts w:hint="eastAsia" w:ascii="宋体" w:hAnsi="宋体" w:eastAsia="宋体" w:cs="宋体"/>
          <w:sz w:val="24"/>
          <w:szCs w:val="24"/>
        </w:rPr>
        <w:t>从事政府信息公开工作人员数</w:t>
      </w:r>
      <w:r>
        <w:rPr>
          <w:rFonts w:hint="eastAsia" w:ascii="宋体" w:hAnsi="宋体" w:eastAsia="宋体" w:cs="宋体"/>
          <w:sz w:val="24"/>
          <w:szCs w:val="24"/>
          <w:lang w:val="en-US" w:eastAsia="zh-CN"/>
        </w:rPr>
        <w:t>1</w:t>
      </w:r>
      <w:r>
        <w:rPr>
          <w:rFonts w:hint="eastAsia" w:ascii="宋体" w:hAnsi="宋体" w:eastAsia="宋体" w:cs="宋体"/>
          <w:sz w:val="24"/>
          <w:szCs w:val="24"/>
        </w:rPr>
        <w:t>人。全年接受</w:t>
      </w:r>
      <w:r>
        <w:rPr>
          <w:rFonts w:hint="eastAsia" w:ascii="宋体" w:hAnsi="宋体" w:eastAsia="宋体" w:cs="宋体"/>
          <w:sz w:val="24"/>
          <w:szCs w:val="24"/>
          <w:lang w:eastAsia="zh-CN"/>
        </w:rPr>
        <w:t>上级</w:t>
      </w:r>
      <w:r>
        <w:rPr>
          <w:rFonts w:hint="eastAsia" w:ascii="宋体" w:hAnsi="宋体" w:eastAsia="宋体" w:cs="宋体"/>
          <w:sz w:val="24"/>
          <w:szCs w:val="24"/>
        </w:rPr>
        <w:t>培训人员</w:t>
      </w:r>
      <w:r>
        <w:rPr>
          <w:rFonts w:hint="eastAsia" w:ascii="宋体" w:hAnsi="宋体" w:eastAsia="宋体" w:cs="宋体"/>
          <w:sz w:val="24"/>
          <w:szCs w:val="24"/>
          <w:lang w:val="en-US" w:eastAsia="zh-CN"/>
        </w:rPr>
        <w:t>1</w:t>
      </w:r>
      <w:r>
        <w:rPr>
          <w:rFonts w:hint="eastAsia" w:ascii="宋体" w:hAnsi="宋体" w:eastAsia="宋体" w:cs="宋体"/>
          <w:sz w:val="24"/>
          <w:szCs w:val="24"/>
        </w:rPr>
        <w:t>人。召开政府信息公开工作会议或专题会议</w:t>
      </w:r>
      <w:r>
        <w:rPr>
          <w:rFonts w:hint="eastAsia" w:ascii="宋体" w:hAnsi="宋体" w:eastAsia="宋体" w:cs="宋体"/>
          <w:sz w:val="24"/>
          <w:szCs w:val="24"/>
          <w:lang w:val="en-US"/>
        </w:rPr>
        <w:t>1</w:t>
      </w:r>
      <w:r>
        <w:rPr>
          <w:rFonts w:hint="eastAsia" w:ascii="宋体" w:hAnsi="宋体" w:eastAsia="宋体" w:cs="宋体"/>
          <w:sz w:val="24"/>
          <w:szCs w:val="24"/>
        </w:rPr>
        <w:t>次。</w:t>
      </w:r>
    </w:p>
    <w:p>
      <w:pPr>
        <w:rPr>
          <w:sz w:val="32"/>
          <w:szCs w:val="32"/>
          <w:lang w:val="en-US" w:eastAsia="zh-CN"/>
        </w:rPr>
      </w:pPr>
    </w:p>
    <w:sectPr>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MzY1NmRiNjVkODFkYjk3YzQ0ODBkZjkyMTZmODhlNTYifQ=="/>
  </w:docVars>
  <w:rsids>
    <w:rsidRoot w:val="00000000"/>
    <w:rsid w:val="06A6684F"/>
    <w:rsid w:val="0D3B30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1623</Words>
  <Characters>1705</Characters>
  <Lines>440</Lines>
  <Paragraphs>114</Paragraphs>
  <TotalTime>14</TotalTime>
  <ScaleCrop>false</ScaleCrop>
  <LinksUpToDate>false</LinksUpToDate>
  <CharactersWithSpaces>1718</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2022-11-08T01:45:00Z</dcterms:created>
  <dc:creator>Administrator</dc:creator>
  <cp:lastModifiedBy>LiGXi-</cp:lastModifiedBy>
  <cp:lastPrinted>2023-12-07T03:11:05Z</cp:lastPrinted>
  <dcterms:modified xsi:type="dcterms:W3CDTF">2023-12-07T03:11:54Z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CC89F5A9CA34431A854FE1D30D42BCFD</vt:lpwstr>
  </property>
</Properties>
</file>