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840"/>
        <w:gridCol w:w="4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jc w:val="center"/>
              <w:rPr>
                <w:rFonts w:ascii="黑体" w:hAnsi="黑体" w:eastAsia="黑体" w:cs="Times New Roman"/>
                <w:color w:val="auto"/>
                <w:sz w:val="28"/>
                <w:szCs w:val="28"/>
              </w:rPr>
            </w:pPr>
            <w:r>
              <w:rPr>
                <w:rFonts w:hint="eastAsia" w:ascii="黑体" w:hAnsi="黑体" w:eastAsia="黑体" w:cs="黑体"/>
                <w:color w:val="auto"/>
                <w:sz w:val="28"/>
                <w:szCs w:val="28"/>
              </w:rPr>
              <w:t>项目</w:t>
            </w:r>
          </w:p>
        </w:tc>
        <w:tc>
          <w:tcPr>
            <w:tcW w:w="2840" w:type="dxa"/>
            <w:noWrap w:val="0"/>
            <w:vAlign w:val="top"/>
          </w:tcPr>
          <w:p>
            <w:pPr>
              <w:jc w:val="center"/>
              <w:rPr>
                <w:rFonts w:ascii="黑体" w:hAnsi="黑体" w:eastAsia="黑体" w:cs="Times New Roman"/>
                <w:color w:val="auto"/>
                <w:sz w:val="28"/>
                <w:szCs w:val="28"/>
              </w:rPr>
            </w:pPr>
            <w:r>
              <w:rPr>
                <w:rFonts w:hint="eastAsia" w:ascii="黑体" w:hAnsi="黑体" w:eastAsia="黑体" w:cs="黑体"/>
                <w:color w:val="auto"/>
                <w:sz w:val="28"/>
                <w:szCs w:val="28"/>
              </w:rPr>
              <w:t>信用信息</w:t>
            </w:r>
          </w:p>
        </w:tc>
        <w:tc>
          <w:tcPr>
            <w:tcW w:w="4014" w:type="dxa"/>
            <w:noWrap w:val="0"/>
            <w:vAlign w:val="top"/>
          </w:tcPr>
          <w:p>
            <w:pPr>
              <w:jc w:val="center"/>
              <w:rPr>
                <w:rFonts w:ascii="黑体" w:hAnsi="黑体" w:eastAsia="黑体" w:cs="Times New Roman"/>
                <w:color w:val="auto"/>
                <w:sz w:val="28"/>
                <w:szCs w:val="28"/>
              </w:rPr>
            </w:pPr>
            <w:r>
              <w:rPr>
                <w:rFonts w:hint="eastAsia" w:ascii="黑体" w:hAnsi="黑体" w:eastAsia="黑体" w:cs="黑体"/>
                <w:color w:val="auto"/>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noWrap w:val="0"/>
            <w:vAlign w:val="center"/>
          </w:tcPr>
          <w:p>
            <w:pPr>
              <w:jc w:val="center"/>
              <w:rPr>
                <w:rFonts w:ascii="宋体" w:cs="Times New Roman"/>
                <w:b/>
                <w:bCs/>
                <w:color w:val="auto"/>
              </w:rPr>
            </w:pPr>
            <w:r>
              <w:rPr>
                <w:rFonts w:hint="eastAsia" w:ascii="宋体" w:hAnsi="宋体" w:cs="宋体"/>
                <w:b/>
                <w:bCs/>
                <w:color w:val="auto"/>
              </w:rPr>
              <w:t>基础信息</w:t>
            </w:r>
          </w:p>
          <w:p>
            <w:pPr>
              <w:jc w:val="center"/>
              <w:rPr>
                <w:rFonts w:ascii="宋体" w:cs="Times New Roman"/>
                <w:b/>
                <w:bCs/>
                <w:color w:val="auto"/>
              </w:rPr>
            </w:pPr>
            <w:r>
              <w:rPr>
                <w:rFonts w:hint="eastAsia" w:ascii="宋体" w:hAnsi="宋体" w:cs="宋体"/>
                <w:b/>
                <w:bCs/>
                <w:color w:val="auto"/>
              </w:rPr>
              <w:t>（</w:t>
            </w:r>
            <w:r>
              <w:rPr>
                <w:rFonts w:ascii="宋体" w:hAnsi="宋体" w:cs="宋体"/>
                <w:b/>
                <w:bCs/>
                <w:color w:val="auto"/>
              </w:rPr>
              <w:t>6</w:t>
            </w:r>
            <w:r>
              <w:rPr>
                <w:rFonts w:hint="eastAsia" w:ascii="宋体" w:hAnsi="宋体" w:cs="宋体"/>
                <w:b/>
                <w:bCs/>
                <w:color w:val="auto"/>
              </w:rPr>
              <w:t>0分）</w:t>
            </w:r>
          </w:p>
        </w:tc>
        <w:tc>
          <w:tcPr>
            <w:tcW w:w="2840" w:type="dxa"/>
            <w:noWrap w:val="0"/>
            <w:vAlign w:val="center"/>
          </w:tcPr>
          <w:p>
            <w:pPr>
              <w:rPr>
                <w:rFonts w:ascii="宋体" w:cs="Times New Roman"/>
                <w:color w:val="auto"/>
              </w:rPr>
            </w:pPr>
            <w:r>
              <w:rPr>
                <w:rFonts w:hint="eastAsia" w:ascii="宋体" w:hAnsi="宋体" w:cs="宋体"/>
                <w:color w:val="auto"/>
              </w:rPr>
              <w:t>企业注册信息</w:t>
            </w:r>
          </w:p>
        </w:tc>
        <w:tc>
          <w:tcPr>
            <w:tcW w:w="4014" w:type="dxa"/>
            <w:noWrap w:val="0"/>
            <w:vAlign w:val="center"/>
          </w:tcPr>
          <w:p>
            <w:pPr>
              <w:jc w:val="left"/>
              <w:rPr>
                <w:rFonts w:ascii="宋体" w:cs="Times New Roman"/>
                <w:color w:val="auto"/>
              </w:rPr>
            </w:pPr>
            <w:r>
              <w:rPr>
                <w:rFonts w:hint="eastAsia" w:ascii="宋体" w:hAnsi="宋体" w:cs="宋体"/>
                <w:color w:val="auto"/>
              </w:rPr>
              <w:t>企业名称、统一社会信用代码（营业执照、组织机构代码、税务登记号）、注册地、企业法人代表人、联系方式等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企业人员信息</w:t>
            </w:r>
          </w:p>
        </w:tc>
        <w:tc>
          <w:tcPr>
            <w:tcW w:w="4014" w:type="dxa"/>
            <w:noWrap w:val="0"/>
            <w:vAlign w:val="center"/>
          </w:tcPr>
          <w:p>
            <w:pPr>
              <w:jc w:val="left"/>
              <w:rPr>
                <w:rFonts w:hint="eastAsia" w:ascii="宋体" w:eastAsia="宋体" w:cs="Times New Roman"/>
                <w:color w:val="auto"/>
                <w:lang w:eastAsia="zh-CN"/>
              </w:rPr>
            </w:pPr>
            <w:r>
              <w:rPr>
                <w:rFonts w:hint="eastAsia" w:ascii="宋体" w:hAnsi="宋体" w:cs="宋体"/>
                <w:color w:val="auto"/>
              </w:rPr>
              <w:t>企业法定代表人、总经理、主要管理人员姓名、联系电话等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物业管理项目信息</w:t>
            </w:r>
          </w:p>
        </w:tc>
        <w:tc>
          <w:tcPr>
            <w:tcW w:w="4014" w:type="dxa"/>
            <w:noWrap w:val="0"/>
            <w:vAlign w:val="center"/>
          </w:tcPr>
          <w:p>
            <w:pPr>
              <w:jc w:val="left"/>
              <w:rPr>
                <w:rFonts w:hint="eastAsia" w:ascii="宋体" w:eastAsia="宋体" w:cs="Times New Roman"/>
                <w:color w:val="auto"/>
                <w:lang w:eastAsia="zh-CN"/>
              </w:rPr>
            </w:pPr>
            <w:r>
              <w:rPr>
                <w:rFonts w:hint="eastAsia" w:ascii="宋体" w:hAnsi="宋体" w:cs="宋体"/>
                <w:color w:val="auto"/>
              </w:rPr>
              <w:t>项目名称、类型、地址、建筑面积、项目管理人等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68" w:type="dxa"/>
            <w:noWrap w:val="0"/>
            <w:vAlign w:val="center"/>
          </w:tcPr>
          <w:p>
            <w:pPr>
              <w:jc w:val="center"/>
              <w:rPr>
                <w:rFonts w:hint="eastAsia" w:ascii="宋体" w:hAnsi="宋体" w:cs="宋体"/>
                <w:b/>
                <w:bCs/>
                <w:color w:val="auto"/>
                <w:lang w:eastAsia="zh-CN"/>
              </w:rPr>
            </w:pPr>
            <w:r>
              <w:rPr>
                <w:rFonts w:hint="eastAsia" w:ascii="宋体" w:hAnsi="宋体" w:cs="宋体"/>
                <w:b/>
                <w:bCs/>
                <w:color w:val="auto"/>
                <w:lang w:eastAsia="zh-CN"/>
              </w:rPr>
              <w:t>物业服务质量评价信息</w:t>
            </w:r>
          </w:p>
          <w:p>
            <w:pPr>
              <w:jc w:val="center"/>
              <w:rPr>
                <w:rFonts w:hint="eastAsia" w:ascii="宋体" w:hAnsi="宋体" w:cs="宋体"/>
                <w:b/>
                <w:bCs/>
                <w:color w:val="auto"/>
                <w:lang w:eastAsia="zh-CN"/>
              </w:rPr>
            </w:pPr>
            <w:r>
              <w:rPr>
                <w:rFonts w:hint="eastAsia" w:ascii="宋体" w:hAnsi="宋体" w:cs="宋体"/>
                <w:b/>
                <w:bCs/>
                <w:color w:val="auto"/>
                <w:lang w:eastAsia="zh-CN"/>
              </w:rPr>
              <w:t>（</w:t>
            </w:r>
            <w:r>
              <w:rPr>
                <w:rFonts w:hint="eastAsia" w:ascii="宋体" w:hAnsi="宋体" w:cs="宋体"/>
                <w:b/>
                <w:bCs/>
                <w:color w:val="auto"/>
                <w:lang w:val="en-US" w:eastAsia="zh-CN"/>
              </w:rPr>
              <w:t>10分</w:t>
            </w:r>
            <w:r>
              <w:rPr>
                <w:rFonts w:hint="eastAsia" w:ascii="宋体" w:hAnsi="宋体" w:cs="宋体"/>
                <w:b/>
                <w:bCs/>
                <w:color w:val="auto"/>
                <w:lang w:eastAsia="zh-CN"/>
              </w:rPr>
              <w:t>）</w:t>
            </w:r>
          </w:p>
        </w:tc>
        <w:tc>
          <w:tcPr>
            <w:tcW w:w="2840" w:type="dxa"/>
            <w:noWrap w:val="0"/>
            <w:vAlign w:val="center"/>
          </w:tcPr>
          <w:p>
            <w:pPr>
              <w:rPr>
                <w:rFonts w:hint="eastAsia" w:ascii="宋体" w:hAnsi="宋体" w:eastAsia="宋体" w:cs="宋体"/>
                <w:color w:val="auto"/>
                <w:lang w:eastAsia="zh-CN"/>
              </w:rPr>
            </w:pPr>
            <w:r>
              <w:rPr>
                <w:rFonts w:hint="eastAsia" w:ascii="宋体" w:hAnsi="宋体" w:cs="宋体"/>
                <w:color w:val="auto"/>
                <w:lang w:eastAsia="zh-CN"/>
              </w:rPr>
              <w:t>街道（乡镇）组织实施的物业服务质量评价</w:t>
            </w:r>
          </w:p>
        </w:tc>
        <w:tc>
          <w:tcPr>
            <w:tcW w:w="4014" w:type="dxa"/>
            <w:noWrap w:val="0"/>
            <w:vAlign w:val="center"/>
          </w:tcPr>
          <w:p>
            <w:pPr>
              <w:jc w:val="left"/>
              <w:rPr>
                <w:rFonts w:hint="default" w:ascii="宋体" w:hAnsi="宋体" w:eastAsia="宋体" w:cs="宋体"/>
                <w:color w:val="auto"/>
                <w:lang w:val="en-US" w:eastAsia="zh-CN"/>
              </w:rPr>
            </w:pPr>
            <w:r>
              <w:rPr>
                <w:rFonts w:hint="eastAsia" w:ascii="宋体" w:hAnsi="宋体" w:cs="宋体"/>
                <w:color w:val="auto"/>
                <w:lang w:eastAsia="zh-CN"/>
              </w:rPr>
              <w:t>按照年度物业服务质量评价总得分的</w:t>
            </w:r>
            <w:r>
              <w:rPr>
                <w:rFonts w:hint="eastAsia" w:ascii="宋体" w:hAnsi="宋体" w:cs="宋体"/>
                <w:color w:val="auto"/>
                <w:lang w:val="en-US" w:eastAsia="zh-CN"/>
              </w:rPr>
              <w:t>10%计入，最高不超过10分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668" w:type="dxa"/>
            <w:vMerge w:val="restart"/>
            <w:noWrap w:val="0"/>
            <w:vAlign w:val="center"/>
          </w:tcPr>
          <w:p>
            <w:pPr>
              <w:jc w:val="center"/>
              <w:rPr>
                <w:rFonts w:ascii="宋体" w:cs="Times New Roman"/>
                <w:b/>
                <w:bCs/>
                <w:color w:val="auto"/>
              </w:rPr>
            </w:pPr>
            <w:r>
              <w:rPr>
                <w:rFonts w:hint="eastAsia" w:ascii="宋体" w:hAnsi="宋体" w:cs="宋体"/>
                <w:b/>
                <w:bCs/>
                <w:color w:val="auto"/>
              </w:rPr>
              <w:t>优良信息</w:t>
            </w:r>
          </w:p>
          <w:p>
            <w:pPr>
              <w:jc w:val="center"/>
              <w:rPr>
                <w:rFonts w:ascii="宋体" w:cs="Times New Roman"/>
                <w:b/>
                <w:bCs/>
                <w:color w:val="auto"/>
              </w:rPr>
            </w:pPr>
            <w:r>
              <w:rPr>
                <w:rFonts w:hint="eastAsia" w:ascii="宋体" w:hAnsi="宋体" w:cs="宋体"/>
                <w:b/>
                <w:bCs/>
                <w:color w:val="auto"/>
              </w:rPr>
              <w:t>（不超过</w:t>
            </w:r>
            <w:r>
              <w:rPr>
                <w:rFonts w:hint="eastAsia" w:ascii="宋体" w:hAnsi="宋体" w:cs="宋体"/>
                <w:b/>
                <w:bCs/>
                <w:color w:val="auto"/>
                <w:lang w:val="en-US" w:eastAsia="zh-CN"/>
              </w:rPr>
              <w:t>3</w:t>
            </w:r>
            <w:r>
              <w:rPr>
                <w:rFonts w:hint="eastAsia" w:ascii="宋体" w:hAnsi="宋体" w:cs="宋体"/>
                <w:b/>
                <w:bCs/>
                <w:color w:val="auto"/>
              </w:rPr>
              <w:t>0分）</w:t>
            </w:r>
          </w:p>
        </w:tc>
        <w:tc>
          <w:tcPr>
            <w:tcW w:w="2840" w:type="dxa"/>
            <w:noWrap w:val="0"/>
            <w:vAlign w:val="center"/>
          </w:tcPr>
          <w:p>
            <w:pPr>
              <w:rPr>
                <w:rFonts w:ascii="宋体" w:cs="Times New Roman"/>
                <w:color w:val="auto"/>
              </w:rPr>
            </w:pPr>
            <w:r>
              <w:rPr>
                <w:rFonts w:hint="eastAsia" w:ascii="宋体" w:hAnsi="宋体" w:cs="宋体"/>
                <w:color w:val="auto"/>
              </w:rPr>
              <w:t>管理项目备案</w:t>
            </w:r>
          </w:p>
        </w:tc>
        <w:tc>
          <w:tcPr>
            <w:tcW w:w="4014" w:type="dxa"/>
            <w:noWrap w:val="0"/>
            <w:vAlign w:val="center"/>
          </w:tcPr>
          <w:p>
            <w:pPr>
              <w:jc w:val="left"/>
              <w:rPr>
                <w:rFonts w:ascii="宋体" w:cs="Times New Roman"/>
                <w:color w:val="auto"/>
              </w:rPr>
            </w:pPr>
            <w:r>
              <w:rPr>
                <w:rFonts w:hint="eastAsia" w:ascii="宋体" w:hAnsi="宋体" w:cs="宋体"/>
                <w:color w:val="auto"/>
              </w:rPr>
              <w:t>企业接管物业项目后，持物业服务合同、营业执照等到辖区物业管理部门办理备案。所有项目全部备案加满</w:t>
            </w:r>
            <w:r>
              <w:rPr>
                <w:rFonts w:hint="eastAsia" w:ascii="宋体" w:hAnsi="宋体" w:cs="宋体"/>
                <w:color w:val="auto"/>
                <w:lang w:val="en-US" w:eastAsia="zh-CN"/>
              </w:rPr>
              <w:t>4</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各级党委、政府、主管部门及行业协会表彰</w:t>
            </w:r>
          </w:p>
        </w:tc>
        <w:tc>
          <w:tcPr>
            <w:tcW w:w="4014" w:type="dxa"/>
            <w:noWrap w:val="0"/>
            <w:vAlign w:val="center"/>
          </w:tcPr>
          <w:p>
            <w:pPr>
              <w:jc w:val="left"/>
              <w:rPr>
                <w:rFonts w:ascii="宋体" w:cs="Times New Roman"/>
                <w:color w:val="auto"/>
              </w:rPr>
            </w:pPr>
            <w:r>
              <w:rPr>
                <w:rFonts w:hint="eastAsia" w:ascii="宋体" w:hAnsi="宋体" w:cs="宋体"/>
                <w:color w:val="auto"/>
              </w:rPr>
              <w:t>按国家、省、市、区分四级，包括企业评先、小区达标创优等，以正式文件为准，按照</w:t>
            </w:r>
            <w:r>
              <w:rPr>
                <w:rFonts w:ascii="宋体" w:hAnsi="宋体" w:cs="宋体"/>
                <w:color w:val="auto"/>
              </w:rPr>
              <w:t>4</w:t>
            </w:r>
            <w:r>
              <w:rPr>
                <w:rFonts w:hint="eastAsia" w:ascii="宋体" w:hAnsi="宋体" w:cs="宋体"/>
                <w:color w:val="auto"/>
              </w:rPr>
              <w:t>、</w:t>
            </w:r>
            <w:r>
              <w:rPr>
                <w:rFonts w:ascii="宋体" w:hAnsi="宋体" w:cs="宋体"/>
                <w:color w:val="auto"/>
              </w:rPr>
              <w:t>3</w:t>
            </w:r>
            <w:r>
              <w:rPr>
                <w:rFonts w:hint="eastAsia" w:ascii="宋体" w:hAnsi="宋体" w:cs="宋体"/>
                <w:color w:val="auto"/>
              </w:rPr>
              <w:t>、</w:t>
            </w:r>
            <w:r>
              <w:rPr>
                <w:rFonts w:ascii="宋体" w:hAnsi="宋体" w:cs="宋体"/>
                <w:color w:val="auto"/>
              </w:rPr>
              <w:t>2</w:t>
            </w:r>
            <w:r>
              <w:rPr>
                <w:rFonts w:hint="eastAsia" w:ascii="宋体" w:hAnsi="宋体" w:cs="宋体"/>
                <w:color w:val="auto"/>
              </w:rPr>
              <w:t>、</w:t>
            </w:r>
            <w:r>
              <w:rPr>
                <w:rFonts w:ascii="宋体" w:hAnsi="宋体" w:cs="宋体"/>
                <w:color w:val="auto"/>
              </w:rPr>
              <w:t>1</w:t>
            </w:r>
            <w:r>
              <w:rPr>
                <w:rFonts w:hint="eastAsia" w:ascii="宋体" w:hAnsi="宋体" w:cs="宋体"/>
                <w:color w:val="auto"/>
              </w:rPr>
              <w:t>得分，表彰人员的，减半得分。可累计得分，最高不超过</w:t>
            </w:r>
            <w:r>
              <w:rPr>
                <w:rFonts w:hint="eastAsia" w:ascii="宋体" w:hAnsi="宋体" w:cs="宋体"/>
                <w:color w:val="auto"/>
                <w:lang w:val="en-US" w:eastAsia="zh-CN"/>
              </w:rPr>
              <w:t>8</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物业主管部门监管检查中被通报表扬</w:t>
            </w:r>
          </w:p>
        </w:tc>
        <w:tc>
          <w:tcPr>
            <w:tcW w:w="4014" w:type="dxa"/>
            <w:noWrap w:val="0"/>
            <w:vAlign w:val="center"/>
          </w:tcPr>
          <w:p>
            <w:pPr>
              <w:jc w:val="left"/>
              <w:rPr>
                <w:rFonts w:ascii="宋体" w:cs="Times New Roman"/>
                <w:color w:val="auto"/>
              </w:rPr>
            </w:pPr>
            <w:r>
              <w:rPr>
                <w:rFonts w:hint="eastAsia" w:ascii="宋体" w:hAnsi="宋体" w:cs="宋体"/>
                <w:color w:val="auto"/>
              </w:rPr>
              <w:t>环境、安全、清雪等专项整治检查中被市、区物业主管部门、街道</w:t>
            </w:r>
            <w:r>
              <w:rPr>
                <w:rFonts w:hint="eastAsia" w:ascii="宋体" w:hAnsi="宋体" w:cs="宋体"/>
                <w:color w:val="auto"/>
                <w:lang w:eastAsia="zh-CN"/>
              </w:rPr>
              <w:t>（乡镇）</w:t>
            </w:r>
            <w:r>
              <w:rPr>
                <w:rFonts w:hint="eastAsia" w:ascii="宋体" w:hAnsi="宋体" w:cs="宋体"/>
                <w:color w:val="auto"/>
              </w:rPr>
              <w:t>通报表扬一次加</w:t>
            </w:r>
            <w:r>
              <w:rPr>
                <w:rFonts w:ascii="宋体" w:hAnsi="宋体" w:cs="宋体"/>
                <w:color w:val="auto"/>
              </w:rPr>
              <w:t>2</w:t>
            </w:r>
            <w:r>
              <w:rPr>
                <w:rFonts w:hint="eastAsia" w:ascii="宋体" w:hAnsi="宋体" w:cs="宋体"/>
                <w:color w:val="auto"/>
              </w:rPr>
              <w:t>分，最高不超过</w:t>
            </w:r>
            <w:r>
              <w:rPr>
                <w:rFonts w:hint="eastAsia" w:ascii="宋体" w:hAnsi="宋体" w:cs="宋体"/>
                <w:color w:val="auto"/>
                <w:lang w:val="en-US" w:eastAsia="zh-CN"/>
              </w:rPr>
              <w:t>4</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业主满意度调查</w:t>
            </w:r>
            <w:r>
              <w:rPr>
                <w:rFonts w:ascii="宋体" w:hAnsi="宋体" w:cs="宋体"/>
                <w:color w:val="auto"/>
              </w:rPr>
              <w:t>80%</w:t>
            </w:r>
            <w:r>
              <w:rPr>
                <w:rFonts w:hint="eastAsia" w:ascii="宋体" w:hAnsi="宋体" w:cs="宋体"/>
                <w:color w:val="auto"/>
              </w:rPr>
              <w:t>以上</w:t>
            </w:r>
          </w:p>
        </w:tc>
        <w:tc>
          <w:tcPr>
            <w:tcW w:w="4014" w:type="dxa"/>
            <w:noWrap w:val="0"/>
            <w:vAlign w:val="center"/>
          </w:tcPr>
          <w:p>
            <w:pPr>
              <w:jc w:val="left"/>
              <w:rPr>
                <w:rFonts w:ascii="宋体" w:cs="Times New Roman"/>
                <w:color w:val="auto"/>
              </w:rPr>
            </w:pPr>
            <w:r>
              <w:rPr>
                <w:rFonts w:hint="eastAsia" w:ascii="宋体" w:hAnsi="宋体" w:cs="宋体"/>
                <w:color w:val="auto"/>
              </w:rPr>
              <w:t>项目所属街道</w:t>
            </w:r>
            <w:r>
              <w:rPr>
                <w:rFonts w:hint="eastAsia" w:ascii="宋体" w:hAnsi="宋体" w:cs="宋体"/>
                <w:color w:val="auto"/>
                <w:lang w:eastAsia="zh-CN"/>
              </w:rPr>
              <w:t>（乡镇）</w:t>
            </w:r>
            <w:r>
              <w:rPr>
                <w:rFonts w:hint="eastAsia" w:ascii="宋体" w:hAnsi="宋体" w:cs="宋体"/>
                <w:color w:val="auto"/>
              </w:rPr>
              <w:t>、社区</w:t>
            </w:r>
            <w:r>
              <w:rPr>
                <w:rFonts w:hint="eastAsia" w:ascii="宋体" w:hAnsi="宋体" w:cs="宋体"/>
                <w:color w:val="auto"/>
                <w:lang w:eastAsia="zh-CN"/>
              </w:rPr>
              <w:t>居（村）委会</w:t>
            </w:r>
            <w:r>
              <w:rPr>
                <w:rFonts w:hint="eastAsia" w:ascii="宋体" w:hAnsi="宋体" w:cs="宋体"/>
                <w:color w:val="auto"/>
              </w:rPr>
              <w:t>组织的业主满意度调查达</w:t>
            </w:r>
            <w:r>
              <w:rPr>
                <w:rFonts w:ascii="宋体" w:hAnsi="宋体" w:cs="宋体"/>
                <w:color w:val="auto"/>
              </w:rPr>
              <w:t>90%</w:t>
            </w:r>
            <w:r>
              <w:rPr>
                <w:rFonts w:hint="eastAsia" w:ascii="宋体" w:hAnsi="宋体" w:cs="宋体"/>
                <w:color w:val="auto"/>
              </w:rPr>
              <w:t>（含）以上的，每个项目加</w:t>
            </w:r>
            <w:r>
              <w:rPr>
                <w:rFonts w:ascii="宋体" w:hAnsi="宋体" w:cs="宋体"/>
                <w:color w:val="auto"/>
              </w:rPr>
              <w:t>2</w:t>
            </w:r>
            <w:r>
              <w:rPr>
                <w:rFonts w:hint="eastAsia" w:ascii="宋体" w:hAnsi="宋体" w:cs="宋体"/>
                <w:color w:val="auto"/>
              </w:rPr>
              <w:t>分；</w:t>
            </w:r>
            <w:r>
              <w:rPr>
                <w:rFonts w:ascii="宋体" w:hAnsi="宋体" w:cs="宋体"/>
                <w:color w:val="auto"/>
              </w:rPr>
              <w:t xml:space="preserve"> 80%</w:t>
            </w:r>
            <w:r>
              <w:rPr>
                <w:rFonts w:hint="eastAsia" w:ascii="宋体" w:hAnsi="宋体" w:cs="宋体"/>
                <w:color w:val="auto"/>
              </w:rPr>
              <w:t>（含）—90%的，每个项目加</w:t>
            </w:r>
            <w:r>
              <w:rPr>
                <w:rFonts w:ascii="宋体" w:hAnsi="宋体" w:cs="宋体"/>
                <w:color w:val="auto"/>
              </w:rPr>
              <w:t>1</w:t>
            </w:r>
            <w:r>
              <w:rPr>
                <w:rFonts w:hint="eastAsia" w:ascii="宋体" w:hAnsi="宋体" w:cs="宋体"/>
                <w:color w:val="auto"/>
              </w:rPr>
              <w:t>分，最高不超过</w:t>
            </w:r>
            <w:r>
              <w:rPr>
                <w:rFonts w:hint="eastAsia" w:ascii="宋体" w:hAnsi="宋体" w:cs="宋体"/>
                <w:color w:val="auto"/>
                <w:lang w:val="en-US" w:eastAsia="zh-CN"/>
              </w:rPr>
              <w:t>4</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重点工作落实到位</w:t>
            </w:r>
          </w:p>
        </w:tc>
        <w:tc>
          <w:tcPr>
            <w:tcW w:w="4014" w:type="dxa"/>
            <w:noWrap w:val="0"/>
            <w:vAlign w:val="center"/>
          </w:tcPr>
          <w:p>
            <w:pPr>
              <w:jc w:val="left"/>
              <w:rPr>
                <w:rFonts w:ascii="宋体" w:cs="Times New Roman"/>
                <w:color w:val="auto"/>
              </w:rPr>
            </w:pPr>
            <w:r>
              <w:rPr>
                <w:rFonts w:hint="eastAsia" w:ascii="宋体" w:hAnsi="宋体" w:cs="宋体"/>
                <w:color w:val="auto"/>
              </w:rPr>
              <w:t>在</w:t>
            </w:r>
            <w:r>
              <w:rPr>
                <w:rFonts w:hint="eastAsia" w:ascii="宋体" w:hAnsi="宋体" w:cs="宋体"/>
                <w:color w:val="auto"/>
                <w:lang w:eastAsia="zh-CN"/>
              </w:rPr>
              <w:t>党委、</w:t>
            </w:r>
            <w:r>
              <w:rPr>
                <w:rFonts w:hint="eastAsia" w:ascii="宋体" w:hAnsi="宋体" w:cs="宋体"/>
                <w:color w:val="auto"/>
              </w:rPr>
              <w:t>政府、行业主管部门及协会确定的重点工作、主题活动中</w:t>
            </w:r>
            <w:r>
              <w:rPr>
                <w:rFonts w:hint="eastAsia" w:ascii="宋体" w:hAnsi="宋体" w:cs="宋体"/>
                <w:color w:val="auto"/>
                <w:lang w:eastAsia="zh-CN"/>
              </w:rPr>
              <w:t>，</w:t>
            </w:r>
            <w:r>
              <w:rPr>
                <w:rFonts w:hint="eastAsia" w:ascii="宋体" w:hAnsi="宋体" w:cs="宋体"/>
                <w:color w:val="auto"/>
              </w:rPr>
              <w:t>企业积极参与认真落实，得到相应肯定的每项加</w:t>
            </w:r>
            <w:r>
              <w:rPr>
                <w:rFonts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t>分，最高不超</w:t>
            </w:r>
            <w:r>
              <w:rPr>
                <w:rFonts w:hint="eastAsia" w:ascii="宋体" w:hAnsi="宋体" w:cs="宋体"/>
                <w:color w:val="auto"/>
                <w:lang w:val="en-US" w:eastAsia="zh-CN"/>
              </w:rPr>
              <w:t>4</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参加行业协会，积极履行会员义务</w:t>
            </w:r>
          </w:p>
        </w:tc>
        <w:tc>
          <w:tcPr>
            <w:tcW w:w="4014" w:type="dxa"/>
            <w:noWrap w:val="0"/>
            <w:vAlign w:val="center"/>
          </w:tcPr>
          <w:p>
            <w:pPr>
              <w:jc w:val="left"/>
              <w:rPr>
                <w:rFonts w:ascii="宋体" w:cs="Times New Roman"/>
                <w:color w:val="auto"/>
              </w:rPr>
            </w:pPr>
            <w:r>
              <w:rPr>
                <w:rFonts w:hint="eastAsia" w:ascii="宋体" w:hAnsi="宋体" w:cs="宋体"/>
                <w:color w:val="auto"/>
              </w:rPr>
              <w:t>积极参与协会组织、宣传工作的加2分，</w:t>
            </w:r>
            <w:r>
              <w:rPr>
                <w:rFonts w:hint="eastAsia" w:ascii="宋体" w:hAnsi="宋体" w:cs="宋体"/>
                <w:color w:val="auto"/>
                <w:lang w:eastAsia="zh-CN"/>
              </w:rPr>
              <w:t>积极</w:t>
            </w:r>
            <w:r>
              <w:rPr>
                <w:rFonts w:hint="eastAsia" w:ascii="宋体" w:hAnsi="宋体" w:cs="宋体"/>
                <w:color w:val="auto"/>
              </w:rPr>
              <w:t>参加行业协会活动、培训，</w:t>
            </w:r>
            <w:r>
              <w:rPr>
                <w:rFonts w:hint="eastAsia" w:ascii="宋体" w:hAnsi="宋体" w:cs="宋体"/>
                <w:color w:val="auto"/>
                <w:lang w:eastAsia="zh-CN"/>
              </w:rPr>
              <w:t>认真履行</w:t>
            </w:r>
            <w:r>
              <w:rPr>
                <w:rFonts w:hint="eastAsia" w:ascii="宋体" w:hAnsi="宋体" w:cs="宋体"/>
                <w:color w:val="auto"/>
              </w:rPr>
              <w:t>协会会</w:t>
            </w:r>
            <w:r>
              <w:rPr>
                <w:rFonts w:hint="eastAsia" w:ascii="宋体" w:hAnsi="宋体" w:cs="宋体"/>
                <w:color w:val="auto"/>
                <w:lang w:eastAsia="zh-CN"/>
              </w:rPr>
              <w:t>员义务</w:t>
            </w:r>
            <w:r>
              <w:rPr>
                <w:rFonts w:hint="eastAsia" w:ascii="宋体" w:hAnsi="宋体" w:cs="宋体"/>
                <w:color w:val="auto"/>
              </w:rPr>
              <w:t>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其他优良信息</w:t>
            </w:r>
          </w:p>
        </w:tc>
        <w:tc>
          <w:tcPr>
            <w:tcW w:w="4014" w:type="dxa"/>
            <w:noWrap w:val="0"/>
            <w:vAlign w:val="center"/>
          </w:tcPr>
          <w:p>
            <w:pPr>
              <w:jc w:val="left"/>
              <w:rPr>
                <w:rFonts w:ascii="宋体" w:cs="Times New Roman"/>
                <w:color w:val="auto"/>
              </w:rPr>
            </w:pPr>
            <w:r>
              <w:rPr>
                <w:rFonts w:hint="eastAsia" w:ascii="宋体" w:hAnsi="宋体" w:cs="宋体"/>
                <w:color w:val="auto"/>
              </w:rPr>
              <w:t>如参加社会公益活动、各类企业献爱心活动、作为正面典型在各级新闻媒体宣传报道的，加</w:t>
            </w:r>
            <w:r>
              <w:rPr>
                <w:rFonts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668" w:type="dxa"/>
            <w:vMerge w:val="restart"/>
            <w:noWrap w:val="0"/>
            <w:vAlign w:val="center"/>
          </w:tcPr>
          <w:p>
            <w:pPr>
              <w:jc w:val="center"/>
              <w:rPr>
                <w:rFonts w:ascii="宋体" w:cs="Times New Roman"/>
                <w:b/>
                <w:bCs/>
                <w:color w:val="auto"/>
              </w:rPr>
            </w:pPr>
            <w:r>
              <w:rPr>
                <w:rFonts w:hint="eastAsia" w:ascii="宋体" w:hAnsi="宋体" w:cs="宋体"/>
                <w:b/>
                <w:bCs/>
                <w:color w:val="auto"/>
                <w:lang w:eastAsia="zh-CN"/>
              </w:rPr>
              <w:t>负面</w:t>
            </w:r>
            <w:r>
              <w:rPr>
                <w:rFonts w:hint="eastAsia" w:ascii="宋体" w:hAnsi="宋体" w:cs="宋体"/>
                <w:b/>
                <w:bCs/>
                <w:color w:val="auto"/>
              </w:rPr>
              <w:t>信息</w:t>
            </w:r>
          </w:p>
        </w:tc>
        <w:tc>
          <w:tcPr>
            <w:tcW w:w="2840" w:type="dxa"/>
            <w:noWrap w:val="0"/>
            <w:vAlign w:val="center"/>
          </w:tcPr>
          <w:p>
            <w:pPr>
              <w:rPr>
                <w:rFonts w:ascii="宋体" w:cs="Times New Roman"/>
                <w:color w:val="auto"/>
              </w:rPr>
            </w:pPr>
            <w:r>
              <w:rPr>
                <w:rFonts w:hint="eastAsia" w:ascii="宋体" w:hAnsi="宋体" w:cs="宋体"/>
                <w:color w:val="auto"/>
              </w:rPr>
              <w:t>在物业服务纠纷诉讼中经人民法院判决和经仲裁委裁决，需物业服务企业承担责任的；被相关行政执法部门作出具体行政处罚的</w:t>
            </w:r>
          </w:p>
        </w:tc>
        <w:tc>
          <w:tcPr>
            <w:tcW w:w="4014" w:type="dxa"/>
            <w:noWrap w:val="0"/>
            <w:vAlign w:val="center"/>
          </w:tcPr>
          <w:p>
            <w:pPr>
              <w:jc w:val="left"/>
              <w:rPr>
                <w:rFonts w:ascii="宋体" w:cs="Times New Roman"/>
                <w:color w:val="auto"/>
              </w:rPr>
            </w:pPr>
            <w:r>
              <w:rPr>
                <w:rFonts w:hint="eastAsia" w:ascii="宋体" w:hAnsi="宋体" w:cs="宋体"/>
                <w:color w:val="auto"/>
              </w:rPr>
              <w:t>每一案件扣</w:t>
            </w:r>
            <w:r>
              <w:rPr>
                <w:rFonts w:ascii="宋体" w:hAnsi="宋体" w:cs="宋体"/>
                <w:color w:val="auto"/>
              </w:rPr>
              <w:t>3</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物业</w:t>
            </w:r>
            <w:r>
              <w:rPr>
                <w:rFonts w:hint="eastAsia" w:ascii="宋体" w:hAnsi="宋体" w:cs="宋体"/>
                <w:color w:val="auto"/>
                <w:lang w:eastAsia="zh-CN"/>
              </w:rPr>
              <w:t>服务</w:t>
            </w:r>
            <w:r>
              <w:rPr>
                <w:rFonts w:hint="eastAsia" w:ascii="宋体" w:hAnsi="宋体" w:cs="宋体"/>
                <w:color w:val="auto"/>
              </w:rPr>
              <w:t>企业发生一般安全事故，或经物业主管部门及其他行政部门认定，在日常服务中存在</w:t>
            </w:r>
            <w:r>
              <w:rPr>
                <w:rFonts w:hint="eastAsia" w:ascii="宋体" w:hAnsi="宋体" w:cs="宋体"/>
                <w:color w:val="auto"/>
                <w:lang w:eastAsia="zh-CN"/>
              </w:rPr>
              <w:t>违法</w:t>
            </w:r>
            <w:r>
              <w:rPr>
                <w:rFonts w:hint="eastAsia" w:ascii="宋体" w:hAnsi="宋体" w:cs="宋体"/>
                <w:color w:val="auto"/>
              </w:rPr>
              <w:t>违规行为的</w:t>
            </w:r>
          </w:p>
        </w:tc>
        <w:tc>
          <w:tcPr>
            <w:tcW w:w="4014" w:type="dxa"/>
            <w:noWrap w:val="0"/>
            <w:vAlign w:val="center"/>
          </w:tcPr>
          <w:p>
            <w:pPr>
              <w:jc w:val="left"/>
              <w:rPr>
                <w:rFonts w:ascii="宋体" w:cs="Times New Roman"/>
                <w:color w:val="auto"/>
              </w:rPr>
            </w:pPr>
            <w:r>
              <w:rPr>
                <w:rFonts w:hint="eastAsia" w:ascii="宋体" w:hAnsi="宋体" w:cs="宋体"/>
                <w:color w:val="auto"/>
              </w:rPr>
              <w:t>根据情况每出现一次</w:t>
            </w:r>
            <w:r>
              <w:rPr>
                <w:rFonts w:hint="eastAsia" w:ascii="宋体" w:hAnsi="宋体" w:cs="宋体"/>
                <w:color w:val="auto"/>
                <w:lang w:eastAsia="zh-CN"/>
              </w:rPr>
              <w:t>（起）</w:t>
            </w:r>
            <w:r>
              <w:rPr>
                <w:rFonts w:hint="eastAsia" w:ascii="宋体" w:hAnsi="宋体" w:cs="宋体"/>
                <w:color w:val="auto"/>
              </w:rPr>
              <w:t>扣</w:t>
            </w:r>
            <w:r>
              <w:rPr>
                <w:rFonts w:ascii="宋体" w:hAnsi="宋体" w:cs="宋体"/>
                <w:color w:val="auto"/>
              </w:rPr>
              <w:t>3</w:t>
            </w:r>
            <w:r>
              <w:rPr>
                <w:rFonts w:hint="eastAsia" w:ascii="宋体" w:hAnsi="宋体" w:cs="宋体"/>
                <w:color w:va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jc w:val="left"/>
              <w:rPr>
                <w:rFonts w:ascii="宋体" w:cs="Times New Roman"/>
                <w:color w:val="auto"/>
              </w:rPr>
            </w:pPr>
            <w:r>
              <w:rPr>
                <w:rFonts w:hint="eastAsia" w:ascii="宋体" w:hAnsi="宋体" w:cs="宋体"/>
                <w:color w:val="auto"/>
              </w:rPr>
              <w:t>无故不参加主管部门及协会等组织的会议、活动、培训的，未按要求及时向主管部门报送相关资料、报表的</w:t>
            </w:r>
          </w:p>
        </w:tc>
        <w:tc>
          <w:tcPr>
            <w:tcW w:w="4014" w:type="dxa"/>
            <w:noWrap w:val="0"/>
            <w:vAlign w:val="center"/>
          </w:tcPr>
          <w:p>
            <w:pPr>
              <w:jc w:val="left"/>
              <w:rPr>
                <w:rFonts w:ascii="宋体" w:cs="Times New Roman"/>
                <w:color w:val="auto"/>
              </w:rPr>
            </w:pPr>
            <w:r>
              <w:rPr>
                <w:rFonts w:hint="eastAsia" w:ascii="宋体" w:hAnsi="宋体" w:cs="宋体"/>
                <w:color w:val="auto"/>
              </w:rPr>
              <w:t>出现一次扣</w:t>
            </w:r>
            <w:r>
              <w:rPr>
                <w:rFonts w:ascii="宋体" w:hAnsi="宋体" w:cs="宋体"/>
                <w:color w:val="auto"/>
              </w:rPr>
              <w:t>2</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jc w:val="left"/>
              <w:rPr>
                <w:rFonts w:hint="eastAsia" w:ascii="宋体" w:eastAsia="宋体" w:cs="宋体"/>
                <w:color w:val="auto"/>
                <w:lang w:eastAsia="zh-CN"/>
              </w:rPr>
            </w:pPr>
            <w:r>
              <w:rPr>
                <w:rFonts w:hint="eastAsia" w:ascii="宋体" w:hAnsi="宋体" w:cs="宋体"/>
                <w:color w:val="auto"/>
              </w:rPr>
              <w:t>市、区物业主管部门、街道</w:t>
            </w:r>
            <w:r>
              <w:rPr>
                <w:rFonts w:hint="eastAsia" w:ascii="宋体" w:hAnsi="宋体" w:cs="宋体"/>
                <w:color w:val="auto"/>
                <w:lang w:eastAsia="zh-CN"/>
              </w:rPr>
              <w:t>（乡镇）</w:t>
            </w:r>
            <w:r>
              <w:rPr>
                <w:rFonts w:hint="eastAsia" w:ascii="宋体" w:hAnsi="宋体" w:cs="宋体"/>
                <w:color w:val="auto"/>
              </w:rPr>
              <w:t>在行业日常抽查、检查中，发现企业未按合同履约，服务质量较差，且物业</w:t>
            </w:r>
            <w:r>
              <w:rPr>
                <w:rFonts w:hint="eastAsia" w:ascii="宋体" w:hAnsi="宋体" w:cs="宋体"/>
                <w:color w:val="auto"/>
                <w:lang w:eastAsia="zh-CN"/>
              </w:rPr>
              <w:t>服务</w:t>
            </w:r>
            <w:r>
              <w:rPr>
                <w:rFonts w:hint="eastAsia" w:ascii="宋体" w:hAnsi="宋体" w:cs="宋体"/>
                <w:color w:val="auto"/>
              </w:rPr>
              <w:t>企业不整改或整改不到位</w:t>
            </w:r>
            <w:r>
              <w:rPr>
                <w:rFonts w:hint="eastAsia" w:ascii="宋体" w:hAnsi="宋体" w:cs="宋体"/>
                <w:color w:val="auto"/>
                <w:lang w:eastAsia="zh-CN"/>
              </w:rPr>
              <w:t>的</w:t>
            </w:r>
          </w:p>
        </w:tc>
        <w:tc>
          <w:tcPr>
            <w:tcW w:w="4014" w:type="dxa"/>
            <w:noWrap w:val="0"/>
            <w:vAlign w:val="center"/>
          </w:tcPr>
          <w:p>
            <w:pPr>
              <w:jc w:val="left"/>
              <w:rPr>
                <w:rFonts w:ascii="宋体" w:cs="宋体"/>
                <w:color w:val="auto"/>
              </w:rPr>
            </w:pPr>
            <w:r>
              <w:rPr>
                <w:rFonts w:hint="eastAsia" w:ascii="宋体" w:hAnsi="宋体" w:cs="宋体"/>
                <w:color w:val="auto"/>
              </w:rPr>
              <w:t>出现一次，酌情扣</w:t>
            </w:r>
            <w:r>
              <w:rPr>
                <w:rFonts w:ascii="宋体" w:hAnsi="宋体" w:cs="宋体"/>
                <w:color w:val="auto"/>
              </w:rPr>
              <w:t>3—5</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jc w:val="left"/>
              <w:rPr>
                <w:rFonts w:ascii="宋体" w:cs="Times New Roman"/>
                <w:color w:val="auto"/>
              </w:rPr>
            </w:pPr>
            <w:r>
              <w:rPr>
                <w:rFonts w:hint="eastAsia" w:ascii="宋体" w:hAnsi="宋体" w:cs="宋体"/>
                <w:color w:val="auto"/>
              </w:rPr>
              <w:t>项目所在街道</w:t>
            </w:r>
            <w:r>
              <w:rPr>
                <w:rFonts w:hint="eastAsia" w:ascii="宋体" w:hAnsi="宋体" w:cs="宋体"/>
                <w:color w:val="auto"/>
                <w:lang w:eastAsia="zh-CN"/>
              </w:rPr>
              <w:t>（乡镇）</w:t>
            </w:r>
            <w:r>
              <w:rPr>
                <w:rFonts w:hint="eastAsia" w:ascii="宋体" w:hAnsi="宋体" w:cs="宋体"/>
                <w:color w:val="auto"/>
              </w:rPr>
              <w:t>、社区</w:t>
            </w:r>
            <w:r>
              <w:rPr>
                <w:rFonts w:hint="eastAsia" w:ascii="宋体" w:hAnsi="宋体" w:cs="宋体"/>
                <w:color w:val="auto"/>
                <w:lang w:eastAsia="zh-CN"/>
              </w:rPr>
              <w:t>（村）</w:t>
            </w:r>
            <w:r>
              <w:rPr>
                <w:rFonts w:hint="eastAsia" w:ascii="宋体" w:hAnsi="宋体" w:cs="宋体"/>
                <w:color w:val="auto"/>
              </w:rPr>
              <w:t>在物业服务日常监督检查、评价等活动中，对服务合同履行、公共部位及公共设施设备管理维护、小区秩序等方面指出问题的</w:t>
            </w:r>
          </w:p>
        </w:tc>
        <w:tc>
          <w:tcPr>
            <w:tcW w:w="4014" w:type="dxa"/>
            <w:noWrap w:val="0"/>
            <w:vAlign w:val="center"/>
          </w:tcPr>
          <w:p>
            <w:pPr>
              <w:jc w:val="left"/>
              <w:rPr>
                <w:rFonts w:ascii="宋体" w:cs="Times New Roman"/>
                <w:color w:val="auto"/>
              </w:rPr>
            </w:pPr>
            <w:r>
              <w:rPr>
                <w:rFonts w:hint="eastAsia" w:ascii="宋体" w:hAnsi="宋体" w:cs="宋体"/>
                <w:color w:val="auto"/>
              </w:rPr>
              <w:t>出现一次扣</w:t>
            </w:r>
            <w:r>
              <w:rPr>
                <w:rFonts w:ascii="宋体" w:hAnsi="宋体" w:cs="宋体"/>
                <w:color w:val="auto"/>
              </w:rPr>
              <w:t>3</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jc w:val="left"/>
              <w:rPr>
                <w:rFonts w:ascii="宋体" w:cs="Times New Roman"/>
                <w:color w:val="auto"/>
              </w:rPr>
            </w:pPr>
            <w:r>
              <w:rPr>
                <w:rFonts w:hint="eastAsia" w:ascii="宋体" w:hAnsi="宋体" w:cs="宋体"/>
                <w:color w:val="auto"/>
              </w:rPr>
              <w:t>在环境集中整治、安全整治、清雪等专项整治检查中，被物业主管部门或者其他行政部门书面通报的，接到相关管理部门发出的整改通知，物业</w:t>
            </w:r>
            <w:r>
              <w:rPr>
                <w:rFonts w:hint="eastAsia" w:ascii="宋体" w:hAnsi="宋体" w:cs="宋体"/>
                <w:color w:val="auto"/>
                <w:lang w:eastAsia="zh-CN"/>
              </w:rPr>
              <w:t>服务</w:t>
            </w:r>
            <w:r>
              <w:rPr>
                <w:rFonts w:hint="eastAsia" w:ascii="宋体" w:hAnsi="宋体" w:cs="宋体"/>
                <w:color w:val="auto"/>
              </w:rPr>
              <w:t>企业不整改或整改不到位的</w:t>
            </w:r>
          </w:p>
        </w:tc>
        <w:tc>
          <w:tcPr>
            <w:tcW w:w="4014" w:type="dxa"/>
            <w:noWrap w:val="0"/>
            <w:vAlign w:val="center"/>
          </w:tcPr>
          <w:p>
            <w:pPr>
              <w:jc w:val="left"/>
              <w:rPr>
                <w:rFonts w:ascii="宋体" w:cs="Times New Roman"/>
                <w:color w:val="auto"/>
              </w:rPr>
            </w:pPr>
            <w:r>
              <w:rPr>
                <w:rFonts w:hint="eastAsia" w:ascii="宋体" w:hAnsi="宋体" w:cs="宋体"/>
                <w:color w:val="auto"/>
              </w:rPr>
              <w:t>每发生一件扣</w:t>
            </w:r>
            <w:r>
              <w:rPr>
                <w:rFonts w:ascii="宋体" w:hAnsi="宋体" w:cs="宋体"/>
                <w:color w:val="auto"/>
              </w:rPr>
              <w:t>3</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jc w:val="left"/>
              <w:rPr>
                <w:rFonts w:ascii="宋体" w:cs="Times New Roman"/>
                <w:color w:val="auto"/>
              </w:rPr>
            </w:pPr>
            <w:r>
              <w:rPr>
                <w:rFonts w:hint="eastAsia" w:ascii="宋体" w:hAnsi="宋体" w:cs="宋体"/>
                <w:color w:val="auto"/>
              </w:rPr>
              <w:t>管理项目业主满意度调查低于</w:t>
            </w:r>
            <w:r>
              <w:rPr>
                <w:rFonts w:ascii="宋体" w:hAnsi="宋体" w:cs="宋体"/>
                <w:color w:val="auto"/>
              </w:rPr>
              <w:t>60%</w:t>
            </w:r>
            <w:r>
              <w:rPr>
                <w:rFonts w:hint="eastAsia" w:ascii="宋体" w:hAnsi="宋体" w:cs="宋体"/>
                <w:color w:val="auto"/>
              </w:rPr>
              <w:t>（不含）的</w:t>
            </w:r>
          </w:p>
        </w:tc>
        <w:tc>
          <w:tcPr>
            <w:tcW w:w="4014" w:type="dxa"/>
            <w:noWrap w:val="0"/>
            <w:vAlign w:val="center"/>
          </w:tcPr>
          <w:p>
            <w:pPr>
              <w:jc w:val="left"/>
              <w:rPr>
                <w:rFonts w:ascii="宋体" w:cs="Times New Roman"/>
                <w:color w:val="auto"/>
              </w:rPr>
            </w:pPr>
            <w:r>
              <w:rPr>
                <w:rFonts w:hint="eastAsia" w:ascii="宋体" w:hAnsi="宋体" w:cs="宋体"/>
                <w:color w:val="auto"/>
              </w:rPr>
              <w:t>项目所属街道</w:t>
            </w:r>
            <w:r>
              <w:rPr>
                <w:rFonts w:hint="eastAsia" w:ascii="宋体" w:hAnsi="宋体" w:cs="宋体"/>
                <w:color w:val="auto"/>
                <w:lang w:eastAsia="zh-CN"/>
              </w:rPr>
              <w:t>（乡镇）</w:t>
            </w:r>
            <w:r>
              <w:rPr>
                <w:rFonts w:hint="eastAsia" w:ascii="宋体" w:hAnsi="宋体" w:cs="宋体"/>
                <w:color w:val="auto"/>
              </w:rPr>
              <w:t>、社区</w:t>
            </w:r>
            <w:r>
              <w:rPr>
                <w:rFonts w:hint="eastAsia" w:ascii="宋体" w:hAnsi="宋体" w:cs="宋体"/>
                <w:color w:val="auto"/>
                <w:lang w:eastAsia="zh-CN"/>
              </w:rPr>
              <w:t>居（村）委会</w:t>
            </w:r>
            <w:r>
              <w:rPr>
                <w:rFonts w:hint="eastAsia" w:ascii="宋体" w:hAnsi="宋体" w:cs="宋体"/>
                <w:color w:val="auto"/>
              </w:rPr>
              <w:t>组织的业主满意度调查低于</w:t>
            </w:r>
            <w:r>
              <w:rPr>
                <w:rFonts w:ascii="宋体" w:hAnsi="宋体" w:cs="宋体"/>
                <w:color w:val="auto"/>
              </w:rPr>
              <w:t>60%</w:t>
            </w:r>
            <w:r>
              <w:rPr>
                <w:rFonts w:hint="eastAsia" w:ascii="宋体" w:hAnsi="宋体" w:cs="宋体"/>
                <w:color w:val="auto"/>
              </w:rPr>
              <w:t>（不含）的，每个项目减</w:t>
            </w:r>
            <w:r>
              <w:rPr>
                <w:rFonts w:ascii="宋体" w:hAnsi="宋体" w:cs="宋体"/>
                <w:color w:val="auto"/>
              </w:rPr>
              <w:t>10</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jc w:val="left"/>
              <w:rPr>
                <w:rFonts w:ascii="宋体" w:cs="Times New Roman"/>
                <w:color w:val="auto"/>
              </w:rPr>
            </w:pPr>
            <w:r>
              <w:rPr>
                <w:rFonts w:hint="eastAsia" w:ascii="宋体" w:hAnsi="宋体" w:cs="宋体"/>
                <w:color w:val="auto"/>
              </w:rPr>
              <w:t>经查实的投诉举报，属物业企业责任且又不认真整改，投诉人不满意的</w:t>
            </w:r>
          </w:p>
        </w:tc>
        <w:tc>
          <w:tcPr>
            <w:tcW w:w="4014" w:type="dxa"/>
            <w:noWrap w:val="0"/>
            <w:vAlign w:val="center"/>
          </w:tcPr>
          <w:p>
            <w:pPr>
              <w:jc w:val="left"/>
              <w:rPr>
                <w:rFonts w:ascii="宋体" w:cs="Times New Roman"/>
                <w:color w:val="auto"/>
              </w:rPr>
            </w:pPr>
            <w:r>
              <w:rPr>
                <w:rFonts w:hint="eastAsia" w:ascii="宋体" w:hAnsi="宋体" w:cs="宋体"/>
                <w:color w:val="auto"/>
              </w:rPr>
              <w:t>每发生一件扣2分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jc w:val="left"/>
              <w:rPr>
                <w:rFonts w:hint="eastAsia" w:ascii="宋体" w:hAnsi="宋体" w:cs="宋体"/>
                <w:color w:val="auto"/>
              </w:rPr>
            </w:pPr>
            <w:r>
              <w:rPr>
                <w:rFonts w:hint="eastAsia" w:ascii="宋体" w:hAnsi="宋体" w:cs="宋体"/>
                <w:color w:val="auto"/>
              </w:rPr>
              <w:t>项目负责人不到社区报到的，不积极参与社区治理工作的</w:t>
            </w:r>
          </w:p>
        </w:tc>
        <w:tc>
          <w:tcPr>
            <w:tcW w:w="4014" w:type="dxa"/>
            <w:noWrap w:val="0"/>
            <w:vAlign w:val="center"/>
          </w:tcPr>
          <w:p>
            <w:pPr>
              <w:jc w:val="left"/>
              <w:rPr>
                <w:rFonts w:hint="eastAsia" w:ascii="宋体" w:hAnsi="宋体" w:cs="宋体"/>
                <w:color w:val="auto"/>
              </w:rPr>
            </w:pPr>
            <w:r>
              <w:rPr>
                <w:rFonts w:hint="eastAsia" w:ascii="宋体" w:hAnsi="宋体" w:cs="宋体"/>
                <w:color w:val="auto"/>
              </w:rPr>
              <w:t>每件扣5分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668" w:type="dxa"/>
            <w:vMerge w:val="restart"/>
            <w:noWrap w:val="0"/>
            <w:vAlign w:val="center"/>
          </w:tcPr>
          <w:p>
            <w:pPr>
              <w:jc w:val="center"/>
              <w:rPr>
                <w:rFonts w:ascii="宋体" w:cs="Times New Roman"/>
                <w:b/>
                <w:bCs/>
                <w:color w:val="auto"/>
              </w:rPr>
            </w:pPr>
            <w:r>
              <w:rPr>
                <w:rFonts w:hint="eastAsia" w:ascii="宋体" w:hAnsi="宋体" w:cs="宋体"/>
                <w:b/>
                <w:bCs/>
                <w:color w:val="auto"/>
              </w:rPr>
              <w:t>严重不良信息</w:t>
            </w:r>
          </w:p>
        </w:tc>
        <w:tc>
          <w:tcPr>
            <w:tcW w:w="2840" w:type="dxa"/>
            <w:noWrap w:val="0"/>
            <w:vAlign w:val="top"/>
          </w:tcPr>
          <w:p>
            <w:pPr>
              <w:jc w:val="left"/>
              <w:rPr>
                <w:rFonts w:ascii="宋体" w:cs="Times New Roman"/>
                <w:color w:val="auto"/>
              </w:rPr>
            </w:pPr>
            <w:r>
              <w:rPr>
                <w:rFonts w:hint="eastAsia" w:ascii="宋体" w:hAnsi="宋体" w:cs="宋体"/>
                <w:color w:val="auto"/>
                <w:lang w:eastAsia="zh-CN"/>
              </w:rPr>
              <w:t>物业服务</w:t>
            </w:r>
            <w:r>
              <w:rPr>
                <w:rFonts w:hint="eastAsia" w:ascii="宋体" w:hAnsi="宋体" w:cs="宋体"/>
                <w:color w:val="auto"/>
              </w:rPr>
              <w:t>企业或企业主要负责人（董事长、总经理、法定代表人等）通过人民法院司法程序认定，被列入失信被执行人名单的</w:t>
            </w:r>
          </w:p>
        </w:tc>
        <w:tc>
          <w:tcPr>
            <w:tcW w:w="4014" w:type="dxa"/>
            <w:vMerge w:val="restart"/>
            <w:noWrap w:val="0"/>
            <w:vAlign w:val="center"/>
          </w:tcPr>
          <w:p>
            <w:pPr>
              <w:jc w:val="center"/>
              <w:rPr>
                <w:rFonts w:hint="eastAsia" w:ascii="宋体" w:hAnsi="宋体" w:cs="宋体"/>
                <w:color w:val="auto"/>
              </w:rPr>
            </w:pPr>
            <w:r>
              <w:rPr>
                <w:rFonts w:hint="eastAsia" w:ascii="宋体" w:hAnsi="宋体" w:cs="宋体"/>
                <w:color w:val="auto"/>
              </w:rPr>
              <w:t>列入黑名单，信用</w:t>
            </w:r>
          </w:p>
          <w:p>
            <w:pPr>
              <w:jc w:val="center"/>
              <w:rPr>
                <w:rFonts w:hint="eastAsia" w:ascii="宋体" w:hAnsi="宋体" w:eastAsia="宋体" w:cs="宋体"/>
                <w:color w:val="auto"/>
                <w:lang w:eastAsia="zh-CN"/>
              </w:rPr>
            </w:pPr>
            <w:r>
              <w:rPr>
                <w:rFonts w:hint="eastAsia" w:ascii="宋体" w:hAnsi="宋体" w:cs="宋体"/>
                <w:color w:val="auto"/>
              </w:rPr>
              <w:t>等级</w:t>
            </w:r>
            <w:r>
              <w:rPr>
                <w:rFonts w:hint="eastAsia" w:ascii="宋体" w:hAnsi="宋体" w:cs="宋体"/>
                <w:color w:val="auto"/>
                <w:lang w:eastAsia="zh-CN"/>
              </w:rPr>
              <w:t>评</w:t>
            </w:r>
            <w:r>
              <w:rPr>
                <w:rFonts w:hint="eastAsia" w:ascii="宋体" w:hAnsi="宋体" w:cs="宋体"/>
                <w:color w:val="auto"/>
              </w:rPr>
              <w:t>定为</w:t>
            </w:r>
            <w:r>
              <w:rPr>
                <w:rFonts w:ascii="宋体" w:hAnsi="宋体" w:cs="宋体"/>
                <w:color w:val="auto"/>
              </w:rPr>
              <w:t>D</w:t>
            </w:r>
            <w:r>
              <w:rPr>
                <w:rFonts w:hint="eastAsia" w:ascii="宋体" w:hAnsi="宋体" w:cs="宋体"/>
                <w:color w:val="auto"/>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668" w:type="dxa"/>
            <w:vMerge w:val="continue"/>
            <w:noWrap w:val="0"/>
            <w:vAlign w:val="center"/>
          </w:tcPr>
          <w:p>
            <w:pPr>
              <w:jc w:val="center"/>
              <w:rPr>
                <w:rFonts w:ascii="宋体" w:cs="Times New Roman"/>
                <w:b/>
                <w:bCs/>
                <w:color w:val="auto"/>
              </w:rPr>
            </w:pPr>
          </w:p>
        </w:tc>
        <w:tc>
          <w:tcPr>
            <w:tcW w:w="2840" w:type="dxa"/>
            <w:noWrap w:val="0"/>
            <w:vAlign w:val="top"/>
          </w:tcPr>
          <w:p>
            <w:pPr>
              <w:rPr>
                <w:rFonts w:ascii="宋体" w:cs="Times New Roman"/>
                <w:color w:val="auto"/>
              </w:rPr>
            </w:pPr>
            <w:r>
              <w:rPr>
                <w:rFonts w:hint="eastAsia" w:ascii="宋体" w:hAnsi="宋体" w:cs="宋体"/>
                <w:color w:val="auto"/>
              </w:rPr>
              <w:t>经司法机关或行政机关确认由物业服务企业承担主要责任或全部责任的</w:t>
            </w:r>
            <w:r>
              <w:rPr>
                <w:rFonts w:hint="eastAsia" w:ascii="宋体" w:hAnsi="宋体" w:cs="宋体"/>
                <w:color w:val="auto"/>
                <w:lang w:eastAsia="zh-CN"/>
              </w:rPr>
              <w:t>较</w:t>
            </w:r>
            <w:r>
              <w:rPr>
                <w:rFonts w:hint="eastAsia" w:ascii="宋体" w:hAnsi="宋体" w:cs="宋体"/>
                <w:color w:val="auto"/>
              </w:rPr>
              <w:t>大以上安全事故的</w:t>
            </w:r>
          </w:p>
        </w:tc>
        <w:tc>
          <w:tcPr>
            <w:tcW w:w="4014" w:type="dxa"/>
            <w:vMerge w:val="continue"/>
            <w:noWrap w:val="0"/>
            <w:vAlign w:val="top"/>
          </w:tcPr>
          <w:p>
            <w:pPr>
              <w:rPr>
                <w:rFonts w:asci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因物业</w:t>
            </w:r>
            <w:r>
              <w:rPr>
                <w:rFonts w:hint="eastAsia" w:ascii="宋体" w:hAnsi="宋体" w:cs="宋体"/>
                <w:color w:val="auto"/>
                <w:lang w:eastAsia="zh-CN"/>
              </w:rPr>
              <w:t>服务</w:t>
            </w:r>
            <w:r>
              <w:rPr>
                <w:rFonts w:hint="eastAsia" w:ascii="宋体" w:hAnsi="宋体" w:cs="宋体"/>
                <w:color w:val="auto"/>
              </w:rPr>
              <w:t>企业过错引发重大群体上访或越级上访事件，影响社会稳定，造成严重不良后果的</w:t>
            </w:r>
          </w:p>
        </w:tc>
        <w:tc>
          <w:tcPr>
            <w:tcW w:w="4014" w:type="dxa"/>
            <w:vMerge w:val="continue"/>
            <w:noWrap w:val="0"/>
            <w:vAlign w:val="top"/>
          </w:tcPr>
          <w:p>
            <w:pPr>
              <w:rPr>
                <w:rFonts w:asci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因物业服务企业责任被媒体公开曝光在社会上造成恶劣影响的</w:t>
            </w:r>
          </w:p>
        </w:tc>
        <w:tc>
          <w:tcPr>
            <w:tcW w:w="4014" w:type="dxa"/>
            <w:vMerge w:val="continue"/>
            <w:noWrap w:val="0"/>
            <w:vAlign w:val="top"/>
          </w:tcPr>
          <w:p>
            <w:pPr>
              <w:rPr>
                <w:rFonts w:asci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挪用、骗取、套用住宅专项维修资金的</w:t>
            </w:r>
          </w:p>
        </w:tc>
        <w:tc>
          <w:tcPr>
            <w:tcW w:w="4014" w:type="dxa"/>
            <w:vMerge w:val="continue"/>
            <w:noWrap w:val="0"/>
            <w:vAlign w:val="top"/>
          </w:tcPr>
          <w:p>
            <w:pPr>
              <w:rPr>
                <w:rFonts w:asci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物业服务企业在物业服务活动中承担主要责任的生效判决或裁决、被各级物业及其他行政主管部门行政处罚、公开通报等拒不执行、拒绝整改的</w:t>
            </w:r>
          </w:p>
        </w:tc>
        <w:tc>
          <w:tcPr>
            <w:tcW w:w="4014" w:type="dxa"/>
            <w:vMerge w:val="continue"/>
            <w:noWrap w:val="0"/>
            <w:vAlign w:val="top"/>
          </w:tcPr>
          <w:p>
            <w:pPr>
              <w:rPr>
                <w:rFonts w:asci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未向主管部门申报企业信息，已从事物业服务活动且未向项目辖区物业主管部门办理备案，经督促仍未备案的</w:t>
            </w:r>
          </w:p>
        </w:tc>
        <w:tc>
          <w:tcPr>
            <w:tcW w:w="4014" w:type="dxa"/>
            <w:vMerge w:val="continue"/>
            <w:noWrap w:val="0"/>
            <w:vAlign w:val="top"/>
          </w:tcPr>
          <w:p>
            <w:pPr>
              <w:rPr>
                <w:rFonts w:asci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物业服务合同未到期擅自撤出物业服务项目，拒不整改的；物业服务合同到期，经业主大会表决不再续聘，拒不撤出物业服务项目的</w:t>
            </w:r>
          </w:p>
        </w:tc>
        <w:tc>
          <w:tcPr>
            <w:tcW w:w="4014" w:type="dxa"/>
            <w:vMerge w:val="continue"/>
            <w:noWrap w:val="0"/>
            <w:vAlign w:val="top"/>
          </w:tcPr>
          <w:p>
            <w:pPr>
              <w:rPr>
                <w:rFonts w:asci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668" w:type="dxa"/>
            <w:vMerge w:val="continue"/>
            <w:noWrap w:val="0"/>
            <w:vAlign w:val="center"/>
          </w:tcPr>
          <w:p>
            <w:pPr>
              <w:jc w:val="center"/>
              <w:rPr>
                <w:rFonts w:ascii="宋体" w:cs="Times New Roman"/>
                <w:b/>
                <w:bCs/>
                <w:color w:val="auto"/>
              </w:rPr>
            </w:pPr>
          </w:p>
        </w:tc>
        <w:tc>
          <w:tcPr>
            <w:tcW w:w="2840" w:type="dxa"/>
            <w:noWrap w:val="0"/>
            <w:vAlign w:val="center"/>
          </w:tcPr>
          <w:p>
            <w:pPr>
              <w:rPr>
                <w:rFonts w:ascii="宋体" w:cs="Times New Roman"/>
                <w:color w:val="auto"/>
              </w:rPr>
            </w:pPr>
            <w:r>
              <w:rPr>
                <w:rFonts w:hint="eastAsia" w:ascii="宋体" w:hAnsi="宋体" w:cs="宋体"/>
                <w:color w:val="auto"/>
              </w:rPr>
              <w:t>其他严重不良行为</w:t>
            </w:r>
          </w:p>
        </w:tc>
        <w:tc>
          <w:tcPr>
            <w:tcW w:w="4014" w:type="dxa"/>
            <w:vMerge w:val="continue"/>
            <w:noWrap w:val="0"/>
            <w:vAlign w:val="top"/>
          </w:tcPr>
          <w:p>
            <w:pPr>
              <w:rPr>
                <w:rFonts w:ascii="宋体" w:cs="Times New Roman"/>
                <w:color w:val="auto"/>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F2DB3"/>
    <w:rsid w:val="3BFF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rFonts w:ascii="Times New Roman" w:hAnsi="Times New Roman"/>
      <w:kern w:val="0"/>
      <w:sz w:val="28"/>
      <w:szCs w:val="20"/>
    </w:rPr>
  </w:style>
  <w:style w:type="paragraph" w:styleId="3">
    <w:name w:val="Body Text"/>
    <w:basedOn w:val="1"/>
    <w:qFormat/>
    <w:uiPriority w:val="0"/>
    <w:pPr>
      <w:jc w:val="center"/>
    </w:pPr>
    <w:rPr>
      <w:sz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2023-04-06T13:55:00Z</dcterms:created>
  <dc:creator>inspur</dc:creator>
  <cp:lastModifiedBy>inspur</cp:lastModifiedBy>
  <dcterms:modified xsi:type="dcterms:W3CDTF">2023-04-06T13:56:29Z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