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1" w:lineRule="exact"/>
        <w:sectPr>
          <w:footerReference r:id="rId7" w:type="first"/>
          <w:footerReference r:id="rId5" w:type="default"/>
          <w:footerReference r:id="rId6" w:type="even"/>
          <w:footnotePr>
            <w:numFmt w:val="decimal"/>
          </w:footnotePr>
          <w:pgSz w:w="11900" w:h="16840"/>
          <w:pgMar w:top="2497" w:right="1444" w:bottom="1072" w:left="1514" w:header="0" w:footer="3" w:gutter="0"/>
          <w:pgNumType w:start="1"/>
          <w:cols w:space="720" w:num="1"/>
          <w:titlePg/>
          <w:rtlGutter w:val="0"/>
          <w:docGrid w:linePitch="360" w:charSpace="0"/>
        </w:sectPr>
      </w:pPr>
    </w:p>
    <w:p>
      <w:pPr>
        <w:pStyle w:val="13"/>
        <w:keepNext w:val="0"/>
        <w:keepLines w:val="0"/>
        <w:widowControl w:val="0"/>
        <w:shd w:val="clear" w:color="auto" w:fill="auto"/>
        <w:bidi w:val="0"/>
        <w:spacing w:before="0" w:after="960" w:line="240" w:lineRule="auto"/>
        <w:ind w:left="0" w:right="0" w:firstLine="0"/>
        <w:jc w:val="left"/>
      </w:pPr>
      <w:r>
        <w:rPr>
          <w:b/>
          <w:bCs/>
          <w:color w:val="000000"/>
          <w:spacing w:val="0"/>
          <w:w w:val="100"/>
          <w:position w:val="0"/>
        </w:rPr>
        <w:t>附件</w:t>
      </w:r>
      <w:r>
        <w:rPr>
          <w:color w:val="000000"/>
          <w:spacing w:val="0"/>
          <w:w w:val="100"/>
          <w:position w:val="0"/>
        </w:rPr>
        <w:t>1</w:t>
      </w:r>
    </w:p>
    <w:p>
      <w:pPr>
        <w:pStyle w:val="21"/>
        <w:keepNext w:val="0"/>
        <w:keepLines w:val="0"/>
        <w:widowControl w:val="0"/>
        <w:shd w:val="clear" w:color="auto" w:fill="auto"/>
        <w:bidi w:val="0"/>
        <w:spacing w:before="0" w:after="100"/>
        <w:ind w:left="0" w:right="0" w:firstLine="0"/>
        <w:jc w:val="left"/>
        <w:rPr>
          <w:sz w:val="84"/>
          <w:szCs w:val="84"/>
        </w:rPr>
      </w:pPr>
      <w:r>
        <w:rPr>
          <w:spacing w:val="0"/>
          <w:w w:val="100"/>
          <w:position w:val="0"/>
          <w:sz w:val="84"/>
          <w:szCs w:val="84"/>
        </w:rPr>
        <w:t>吉林省医疗保障局</w:t>
      </w:r>
    </w:p>
    <w:p>
      <w:pPr>
        <w:pStyle w:val="21"/>
        <w:keepNext w:val="0"/>
        <w:keepLines w:val="0"/>
        <w:widowControl w:val="0"/>
        <w:shd w:val="clear" w:color="auto" w:fill="auto"/>
        <w:bidi w:val="0"/>
        <w:spacing w:before="0" w:after="40"/>
        <w:ind w:left="0" w:right="0" w:firstLine="0"/>
        <w:jc w:val="both"/>
        <w:rPr>
          <w:spacing w:val="0"/>
          <w:w w:val="100"/>
          <w:position w:val="0"/>
          <w:sz w:val="84"/>
          <w:szCs w:val="84"/>
        </w:rPr>
      </w:pPr>
      <w:r>
        <w:rPr>
          <w:spacing w:val="0"/>
          <w:w w:val="100"/>
          <w:position w:val="0"/>
          <w:sz w:val="84"/>
          <w:szCs w:val="84"/>
        </w:rPr>
        <w:t>吉林省民政厅</w:t>
      </w:r>
    </w:p>
    <w:p>
      <w:pPr>
        <w:pStyle w:val="21"/>
        <w:keepNext w:val="0"/>
        <w:keepLines w:val="0"/>
        <w:widowControl w:val="0"/>
        <w:shd w:val="clear" w:color="auto" w:fill="auto"/>
        <w:bidi w:val="0"/>
        <w:spacing w:before="0" w:after="40"/>
        <w:ind w:left="0" w:right="0" w:firstLine="0"/>
        <w:jc w:val="both"/>
        <w:rPr>
          <w:sz w:val="84"/>
          <w:szCs w:val="84"/>
        </w:rPr>
      </w:pPr>
      <w:r>
        <w:rPr>
          <w:spacing w:val="0"/>
          <w:w w:val="100"/>
          <w:position w:val="0"/>
          <w:sz w:val="84"/>
          <w:szCs w:val="84"/>
        </w:rPr>
        <w:t>吉林省财政厅</w:t>
      </w:r>
    </w:p>
    <w:p>
      <w:pPr>
        <w:pStyle w:val="21"/>
        <w:keepNext w:val="0"/>
        <w:keepLines w:val="0"/>
        <w:widowControl w:val="0"/>
        <w:shd w:val="clear" w:color="auto" w:fill="auto"/>
        <w:bidi w:val="0"/>
        <w:spacing w:before="0" w:after="780"/>
        <w:ind w:left="0" w:right="0" w:firstLine="0"/>
        <w:jc w:val="left"/>
        <w:rPr>
          <w:sz w:val="84"/>
          <w:szCs w:val="84"/>
        </w:rPr>
      </w:pPr>
      <w:r>
        <w:rPr>
          <w:spacing w:val="0"/>
          <w:w w:val="100"/>
          <w:position w:val="0"/>
          <w:sz w:val="84"/>
          <w:szCs w:val="84"/>
        </w:rPr>
        <w:t>吉林省</w:t>
      </w:r>
      <w:r>
        <w:rPr>
          <w:rFonts w:hint="eastAsia"/>
          <w:spacing w:val="0"/>
          <w:w w:val="100"/>
          <w:position w:val="0"/>
          <w:sz w:val="84"/>
          <w:szCs w:val="84"/>
          <w:lang w:eastAsia="zh-CN"/>
        </w:rPr>
        <w:t>卫生健康</w:t>
      </w:r>
      <w:r>
        <w:rPr>
          <w:spacing w:val="0"/>
          <w:w w:val="100"/>
          <w:position w:val="0"/>
          <w:sz w:val="84"/>
          <w:szCs w:val="84"/>
        </w:rPr>
        <w:t>委员会</w:t>
      </w:r>
    </w:p>
    <w:p>
      <w:pPr>
        <w:pStyle w:val="13"/>
        <w:keepNext w:val="0"/>
        <w:keepLines w:val="0"/>
        <w:widowControl w:val="0"/>
        <w:pBdr>
          <w:bottom w:val="single" w:color="auto" w:sz="4" w:space="0"/>
        </w:pBdr>
        <w:shd w:val="clear" w:color="auto" w:fill="auto"/>
        <w:bidi w:val="0"/>
        <w:spacing w:before="0" w:after="960" w:line="240" w:lineRule="auto"/>
        <w:ind w:left="0" w:right="0" w:firstLine="0"/>
        <w:jc w:val="center"/>
      </w:pPr>
      <w:r>
        <w:rPr>
          <w:color w:val="2B2B2B"/>
          <w:spacing w:val="0"/>
          <w:w w:val="100"/>
          <w:position w:val="0"/>
        </w:rPr>
        <w:t>吉医保联〔2019〕21号</w:t>
      </w:r>
    </w:p>
    <w:p>
      <w:pPr>
        <w:pStyle w:val="15"/>
        <w:keepNext/>
        <w:keepLines/>
        <w:widowControl w:val="0"/>
        <w:shd w:val="clear" w:color="auto" w:fill="auto"/>
        <w:bidi w:val="0"/>
        <w:spacing w:before="0" w:after="360" w:line="715" w:lineRule="exact"/>
        <w:ind w:left="0" w:right="0" w:firstLine="0"/>
        <w:jc w:val="center"/>
      </w:pPr>
      <w:bookmarkStart w:id="0" w:name="bookmark25"/>
      <w:bookmarkStart w:id="1" w:name="bookmark24"/>
      <w:bookmarkStart w:id="2" w:name="bookmark26"/>
      <w:r>
        <w:rPr>
          <w:color w:val="2B2B2B"/>
          <w:spacing w:val="0"/>
          <w:w w:val="100"/>
          <w:position w:val="0"/>
        </w:rPr>
        <w:t>关于印发进一步推进城乡居民基本医疗</w:t>
      </w:r>
      <w:r>
        <w:rPr>
          <w:color w:val="2B2B2B"/>
          <w:spacing w:val="0"/>
          <w:w w:val="100"/>
          <w:position w:val="0"/>
        </w:rPr>
        <w:br w:type="textWrapping"/>
      </w:r>
      <w:r>
        <w:rPr>
          <w:color w:val="2B2B2B"/>
          <w:spacing w:val="0"/>
          <w:w w:val="100"/>
          <w:position w:val="0"/>
        </w:rPr>
        <w:t>保险保障待遇统一的指导意见的通知</w:t>
      </w:r>
      <w:bookmarkEnd w:id="0"/>
      <w:bookmarkEnd w:id="1"/>
      <w:bookmarkEnd w:id="2"/>
    </w:p>
    <w:p>
      <w:pPr>
        <w:pStyle w:val="13"/>
        <w:keepNext w:val="0"/>
        <w:keepLines w:val="0"/>
        <w:widowControl w:val="0"/>
        <w:shd w:val="clear" w:color="auto" w:fill="auto"/>
        <w:bidi w:val="0"/>
        <w:spacing w:before="0" w:after="0" w:line="615" w:lineRule="exact"/>
        <w:ind w:left="0" w:right="0" w:firstLine="0"/>
        <w:jc w:val="left"/>
      </w:pPr>
      <w:r>
        <w:rPr>
          <w:color w:val="2B2B2B"/>
          <w:spacing w:val="0"/>
          <w:w w:val="100"/>
          <w:position w:val="0"/>
        </w:rPr>
        <w:t>各市（州）、长白山保护开发区、梅河口市、公主岭市医疗 保障局、民政局、财政局、卫生健康委（局）：</w:t>
      </w:r>
    </w:p>
    <w:p>
      <w:pPr>
        <w:pStyle w:val="13"/>
        <w:keepNext w:val="0"/>
        <w:keepLines w:val="0"/>
        <w:widowControl w:val="0"/>
        <w:shd w:val="clear" w:color="auto" w:fill="auto"/>
        <w:bidi w:val="0"/>
        <w:spacing w:before="0" w:after="880" w:line="615" w:lineRule="exact"/>
        <w:ind w:left="0" w:right="0" w:firstLine="740"/>
        <w:jc w:val="both"/>
      </w:pPr>
      <w:r>
        <w:rPr>
          <w:color w:val="2B2B2B"/>
          <w:spacing w:val="0"/>
          <w:w w:val="100"/>
          <w:position w:val="0"/>
          <w:lang w:val="zh-CN" w:eastAsia="zh-CN" w:bidi="zh-CN"/>
        </w:rPr>
        <w:t>为进一</w:t>
      </w:r>
      <w:r>
        <w:rPr>
          <w:color w:val="2B2B2B"/>
          <w:spacing w:val="0"/>
          <w:w w:val="100"/>
          <w:position w:val="0"/>
        </w:rPr>
        <w:t>步贯彻落实吉林省人民政府办公厅《关于整合 城乡居民基本医疗保险制度的实施意见》（吉政办发 〔2016〕</w:t>
      </w:r>
      <w:bookmarkStart w:id="195" w:name="_GoBack"/>
      <w:bookmarkEnd w:id="195"/>
      <w:r>
        <w:rPr>
          <w:color w:val="2B2B2B"/>
          <w:spacing w:val="0"/>
          <w:w w:val="100"/>
          <w:position w:val="0"/>
        </w:rPr>
        <w:t>84号）和《关于印发加快推进城乡居民基本医疗保 险制度</w:t>
      </w:r>
      <w:r>
        <w:rPr>
          <w:color w:val="2B2B2B"/>
          <w:spacing w:val="0"/>
          <w:w w:val="100"/>
          <w:position w:val="0"/>
          <w:lang w:val="zh-CN" w:eastAsia="zh-CN" w:bidi="zh-CN"/>
        </w:rPr>
        <w:t>“六</w:t>
      </w:r>
      <w:r>
        <w:rPr>
          <w:color w:val="2B2B2B"/>
          <w:spacing w:val="0"/>
          <w:w w:val="100"/>
          <w:position w:val="0"/>
        </w:rPr>
        <w:t>统一 ”实施方案的通知》（吉医改办联发 〔2017〕2号）等文件精神，按照省委省政府关于整合城乡 居民基本医疗保险制度的总体部署，进一步推进城乡居民 基本医疗保险保障待遇统一，省医疗保障局会同省民政厅、 省财政厅、省卫生健康委共同制定了本指导意见，现印发 你们，请认真贯彻落实。</w:t>
      </w:r>
    </w:p>
    <w:p>
      <w:pPr>
        <w:widowControl w:val="0"/>
        <w:jc w:val="center"/>
        <w:rPr>
          <w:sz w:val="2"/>
          <w:szCs w:val="2"/>
        </w:rPr>
      </w:pPr>
      <w:r>
        <w:drawing>
          <wp:inline distT="0" distB="0" distL="114300" distR="114300">
            <wp:extent cx="4291330" cy="3584575"/>
            <wp:effectExtent l="0" t="0" r="13970" b="15875"/>
            <wp:docPr id="19" name="Picutre 19"/>
            <wp:cNvGraphicFramePr/>
            <a:graphic xmlns:a="http://schemas.openxmlformats.org/drawingml/2006/main">
              <a:graphicData uri="http://schemas.openxmlformats.org/drawingml/2006/picture">
                <pic:pic xmlns:pic="http://schemas.openxmlformats.org/drawingml/2006/picture">
                  <pic:nvPicPr>
                    <pic:cNvPr id="19" name="Picutre 19"/>
                    <pic:cNvPicPr/>
                  </pic:nvPicPr>
                  <pic:blipFill>
                    <a:blip r:embed="rId72"/>
                    <a:stretch>
                      <a:fillRect/>
                    </a:stretch>
                  </pic:blipFill>
                  <pic:spPr>
                    <a:xfrm>
                      <a:off x="0" y="0"/>
                      <a:ext cx="4291330" cy="3584575"/>
                    </a:xfrm>
                    <a:prstGeom prst="rect">
                      <a:avLst/>
                    </a:prstGeom>
                  </pic:spPr>
                </pic:pic>
              </a:graphicData>
            </a:graphic>
          </wp:inline>
        </w:drawing>
      </w:r>
    </w:p>
    <w:p>
      <w:pPr>
        <w:widowControl w:val="0"/>
        <w:spacing w:after="539" w:line="1" w:lineRule="exact"/>
      </w:pPr>
    </w:p>
    <w:p>
      <w:pPr>
        <w:pStyle w:val="13"/>
        <w:keepNext w:val="0"/>
        <w:keepLines w:val="0"/>
        <w:widowControl w:val="0"/>
        <w:shd w:val="clear" w:color="auto" w:fill="auto"/>
        <w:bidi w:val="0"/>
        <w:spacing w:before="0" w:after="720" w:line="240" w:lineRule="auto"/>
        <w:ind w:left="0" w:right="0" w:firstLine="680"/>
        <w:jc w:val="left"/>
        <w:sectPr>
          <w:footerReference r:id="rId8" w:type="default"/>
          <w:footerReference r:id="rId9" w:type="even"/>
          <w:footnotePr>
            <w:numFmt w:val="decimal"/>
          </w:footnotePr>
          <w:pgSz w:w="11900" w:h="16840"/>
          <w:pgMar w:top="1720" w:right="1438" w:bottom="1684" w:left="1476" w:header="1292" w:footer="1256" w:gutter="0"/>
          <w:cols w:space="720" w:num="1"/>
          <w:rtlGutter w:val="0"/>
          <w:docGrid w:linePitch="360" w:charSpace="0"/>
        </w:sectPr>
      </w:pPr>
      <w:r>
        <w:rPr>
          <w:color w:val="2B2B2B"/>
          <w:spacing w:val="0"/>
          <w:w w:val="100"/>
          <w:position w:val="0"/>
        </w:rPr>
        <w:t>（此件主动公开）</w:t>
      </w:r>
    </w:p>
    <w:p>
      <w:pPr>
        <w:pStyle w:val="15"/>
        <w:keepNext/>
        <w:keepLines/>
        <w:widowControl w:val="0"/>
        <w:shd w:val="clear" w:color="auto" w:fill="auto"/>
        <w:bidi w:val="0"/>
        <w:spacing w:before="1240" w:after="380" w:line="720" w:lineRule="exact"/>
        <w:ind w:left="0" w:right="0" w:firstLine="0"/>
        <w:jc w:val="center"/>
      </w:pPr>
      <w:bookmarkStart w:id="3" w:name="bookmark27"/>
      <w:bookmarkStart w:id="4" w:name="bookmark28"/>
      <w:bookmarkStart w:id="5" w:name="bookmark29"/>
      <w:r>
        <w:rPr>
          <w:color w:val="2B2B2B"/>
          <w:spacing w:val="0"/>
          <w:w w:val="100"/>
          <w:position w:val="0"/>
        </w:rPr>
        <w:t>关于进一步推进城乡居民基本医疗保险</w:t>
      </w:r>
      <w:r>
        <w:rPr>
          <w:color w:val="2B2B2B"/>
          <w:spacing w:val="0"/>
          <w:w w:val="100"/>
          <w:position w:val="0"/>
        </w:rPr>
        <w:br w:type="textWrapping"/>
      </w:r>
      <w:r>
        <w:rPr>
          <w:color w:val="2B2B2B"/>
          <w:spacing w:val="0"/>
          <w:w w:val="100"/>
          <w:position w:val="0"/>
        </w:rPr>
        <w:t>保障待遇统一的指导意见</w:t>
      </w:r>
      <w:bookmarkEnd w:id="3"/>
      <w:bookmarkEnd w:id="4"/>
      <w:bookmarkEnd w:id="5"/>
    </w:p>
    <w:p>
      <w:pPr>
        <w:pStyle w:val="13"/>
        <w:keepNext w:val="0"/>
        <w:keepLines w:val="0"/>
        <w:widowControl w:val="0"/>
        <w:shd w:val="clear" w:color="auto" w:fill="auto"/>
        <w:bidi w:val="0"/>
        <w:spacing w:before="0" w:after="0" w:line="625" w:lineRule="exact"/>
        <w:ind w:left="0" w:right="0" w:firstLine="680"/>
        <w:jc w:val="both"/>
      </w:pPr>
      <w:r>
        <w:rPr>
          <w:color w:val="2B2B2B"/>
          <w:spacing w:val="0"/>
          <w:w w:val="100"/>
          <w:position w:val="0"/>
        </w:rPr>
        <w:t>为进一步贯彻落实吉林省人民政府办公厅《关于整合 城乡居民基本医疗保险制度的实施意见》（吉政办发 〔2016〕84号）和《关于印发加快推进城乡居民基本医疗保 险制度</w:t>
      </w:r>
      <w:r>
        <w:rPr>
          <w:color w:val="2B2B2B"/>
          <w:spacing w:val="0"/>
          <w:w w:val="100"/>
          <w:position w:val="0"/>
          <w:lang w:val="zh-CN" w:eastAsia="zh-CN" w:bidi="zh-CN"/>
        </w:rPr>
        <w:t>“六</w:t>
      </w:r>
      <w:r>
        <w:rPr>
          <w:color w:val="2B2B2B"/>
          <w:spacing w:val="0"/>
          <w:w w:val="100"/>
          <w:position w:val="0"/>
        </w:rPr>
        <w:t>统一"实施方案的通知》（吉医改办联发 〔2017〕2号，以下简称2号文件）等文件精神，按照省委 省政府关于整合城乡居民基本医疗保险制度的总体部署, 进一■步推进城乡居民基本医疗保险保障待遇统一，提出如 下指导意见：</w:t>
      </w:r>
    </w:p>
    <w:p>
      <w:pPr>
        <w:pStyle w:val="13"/>
        <w:keepNext w:val="0"/>
        <w:keepLines w:val="0"/>
        <w:widowControl w:val="0"/>
        <w:shd w:val="clear" w:color="auto" w:fill="auto"/>
        <w:bidi w:val="0"/>
        <w:spacing w:before="0" w:after="0" w:line="625" w:lineRule="exact"/>
        <w:ind w:left="0" w:right="0" w:firstLine="680"/>
        <w:jc w:val="both"/>
      </w:pPr>
      <w:r>
        <w:rPr>
          <w:b/>
          <w:bCs/>
          <w:color w:val="2B2B2B"/>
          <w:spacing w:val="0"/>
          <w:w w:val="100"/>
          <w:position w:val="0"/>
        </w:rPr>
        <w:t>一、总体要求</w:t>
      </w:r>
    </w:p>
    <w:p>
      <w:pPr>
        <w:pStyle w:val="13"/>
        <w:keepNext w:val="0"/>
        <w:keepLines w:val="0"/>
        <w:widowControl w:val="0"/>
        <w:shd w:val="clear" w:color="auto" w:fill="auto"/>
        <w:bidi w:val="0"/>
        <w:spacing w:before="0" w:after="0" w:line="625" w:lineRule="exact"/>
        <w:ind w:left="0" w:right="0" w:firstLine="680"/>
        <w:jc w:val="both"/>
      </w:pPr>
      <w:r>
        <w:rPr>
          <w:color w:val="2B2B2B"/>
          <w:spacing w:val="0"/>
          <w:w w:val="100"/>
          <w:position w:val="0"/>
        </w:rPr>
        <w:t>（一）指导思想</w:t>
      </w:r>
    </w:p>
    <w:p>
      <w:pPr>
        <w:pStyle w:val="13"/>
        <w:keepNext w:val="0"/>
        <w:keepLines w:val="0"/>
        <w:widowControl w:val="0"/>
        <w:shd w:val="clear" w:color="auto" w:fill="auto"/>
        <w:bidi w:val="0"/>
        <w:spacing w:before="0" w:after="300" w:line="625" w:lineRule="exact"/>
        <w:ind w:left="0" w:right="0" w:firstLine="680"/>
        <w:jc w:val="both"/>
      </w:pPr>
      <w:r>
        <w:rPr>
          <w:color w:val="2B2B2B"/>
          <w:spacing w:val="0"/>
          <w:w w:val="100"/>
          <w:position w:val="0"/>
        </w:rPr>
        <w:t xml:space="preserve">以习近平新时代中国特色社会主义思想为指导，全面 贯彻党的十九大和十九届二中、三中全会精神，深入贯彻 习近平总书记在深入推进东北振兴座谈会上重要讲话精神， 坚持兜底线、织密网、建机制，补齐民生短板，解决城乡 居民医疗保障领域发展不平衡、不充分的问题。按照全覆 盖、保基本、多层次、可持续的方针，整合城镇居民基本 </w:t>
      </w:r>
      <w:r>
        <w:rPr>
          <w:color w:val="000000"/>
          <w:spacing w:val="0"/>
          <w:w w:val="100"/>
          <w:position w:val="0"/>
        </w:rPr>
        <w:t>医疗保险和新型农村合作医疗制度（以下简称新农合），健 全完善统一的城乡居民基本医疗保险制度，合理均衡城乡 居民保障待遇，促进居民医保政策更加健全、制度结构更 加优化、标准制定更加科学、管理服务更加规范，实现全 民医保体系持续健康发展。</w:t>
      </w:r>
    </w:p>
    <w:p>
      <w:pPr>
        <w:pStyle w:val="13"/>
        <w:keepNext w:val="0"/>
        <w:framePr w:dropCap="drop" w:lines="4" w:hSpace="2" w:vSpace="2" w:wrap="auto" w:vAnchor="text" w:hAnchor="text"/>
        <w:widowControl w:val="0"/>
        <w:shd w:val="clear" w:color="auto" w:fill="auto"/>
        <w:tabs>
          <w:tab w:val="left" w:pos="593"/>
        </w:tabs>
        <w:spacing w:before="0" w:line="5" w:lineRule="exact"/>
        <w:ind w:left="0" w:firstLine="0"/>
      </w:pPr>
      <w:r>
        <w:rPr>
          <w:rFonts w:ascii="Times New Roman" w:hAnsi="Times New Roman" w:eastAsia="Times New Roman" w:cs="Times New Roman"/>
          <w:color w:val="000000"/>
          <w:spacing w:val="0"/>
          <w:w w:val="100"/>
          <w:position w:val="0"/>
          <w:sz w:val="8"/>
          <w:szCs w:val="8"/>
        </w:rPr>
        <w:t>■</w:t>
      </w:r>
    </w:p>
    <w:p>
      <w:pPr>
        <w:pStyle w:val="13"/>
        <w:keepNext w:val="0"/>
        <w:keepLines w:val="0"/>
        <w:widowControl w:val="0"/>
        <w:shd w:val="clear" w:color="auto" w:fill="auto"/>
        <w:tabs>
          <w:tab w:val="left" w:pos="593"/>
        </w:tabs>
        <w:bidi w:val="0"/>
        <w:spacing w:before="0" w:after="60" w:line="624" w:lineRule="exact"/>
        <w:ind w:left="0" w:right="0" w:firstLine="0"/>
        <w:jc w:val="both"/>
      </w:pPr>
      <w:r>
        <w:rPr>
          <w:color w:val="737373"/>
          <w:spacing w:val="0"/>
          <w:w w:val="100"/>
          <w:position w:val="0"/>
        </w:rPr>
        <w:tab/>
      </w:r>
      <w:r>
        <w:rPr>
          <w:color w:val="000000"/>
          <w:spacing w:val="0"/>
          <w:w w:val="100"/>
          <w:position w:val="0"/>
        </w:rPr>
        <w:t>（二）基本原则</w:t>
      </w:r>
    </w:p>
    <w:p>
      <w:pPr>
        <w:pStyle w:val="13"/>
        <w:keepNext w:val="0"/>
        <w:keepLines w:val="0"/>
        <w:widowControl w:val="0"/>
        <w:numPr>
          <w:ilvl w:val="0"/>
          <w:numId w:val="1"/>
        </w:numPr>
        <w:shd w:val="clear" w:color="auto" w:fill="auto"/>
        <w:bidi w:val="0"/>
        <w:spacing w:before="0" w:after="0" w:line="631" w:lineRule="exact"/>
        <w:ind w:left="0" w:right="0" w:firstLine="660"/>
        <w:jc w:val="both"/>
      </w:pPr>
      <w:bookmarkStart w:id="6" w:name="bookmark30"/>
      <w:bookmarkEnd w:id="6"/>
      <w:r>
        <w:rPr>
          <w:color w:val="000000"/>
          <w:spacing w:val="0"/>
          <w:w w:val="100"/>
          <w:position w:val="0"/>
        </w:rPr>
        <w:t>以收定支，收支平衡。坚持</w:t>
      </w:r>
      <w:r>
        <w:rPr>
          <w:color w:val="000000"/>
          <w:spacing w:val="0"/>
          <w:w w:val="100"/>
          <w:position w:val="0"/>
          <w:lang w:val="zh-CN" w:eastAsia="zh-CN" w:bidi="zh-CN"/>
        </w:rPr>
        <w:t>“以收</w:t>
      </w:r>
      <w:r>
        <w:rPr>
          <w:color w:val="000000"/>
          <w:spacing w:val="0"/>
          <w:w w:val="100"/>
          <w:position w:val="0"/>
        </w:rPr>
        <w:t>定支、收支平衡、 略有</w:t>
      </w:r>
      <w:r>
        <w:rPr>
          <w:color w:val="000000"/>
          <w:spacing w:val="0"/>
          <w:w w:val="100"/>
          <w:position w:val="0"/>
          <w:lang w:val="zh-CN" w:eastAsia="zh-CN" w:bidi="zh-CN"/>
        </w:rPr>
        <w:t>结余”</w:t>
      </w:r>
      <w:r>
        <w:rPr>
          <w:color w:val="000000"/>
          <w:spacing w:val="0"/>
          <w:w w:val="100"/>
          <w:position w:val="0"/>
        </w:rPr>
        <w:t>的原则，因地制宜，适度保障，合理确定待遇 标准。</w:t>
      </w:r>
    </w:p>
    <w:p>
      <w:pPr>
        <w:pStyle w:val="13"/>
        <w:keepNext w:val="0"/>
        <w:keepLines w:val="0"/>
        <w:widowControl w:val="0"/>
        <w:numPr>
          <w:ilvl w:val="0"/>
          <w:numId w:val="1"/>
        </w:numPr>
        <w:shd w:val="clear" w:color="auto" w:fill="auto"/>
        <w:bidi w:val="0"/>
        <w:spacing w:before="0" w:after="0" w:line="626" w:lineRule="exact"/>
        <w:ind w:left="0" w:right="0" w:firstLine="660"/>
        <w:jc w:val="both"/>
      </w:pPr>
      <w:bookmarkStart w:id="7" w:name="bookmark31"/>
      <w:bookmarkEnd w:id="7"/>
      <w:r>
        <w:rPr>
          <w:color w:val="000000"/>
          <w:spacing w:val="0"/>
          <w:w w:val="100"/>
          <w:position w:val="0"/>
        </w:rPr>
        <w:t>立足基本，保障公平。立足本地区经济社会发展水 平、城乡居民负担与基金承受能力，尽力而为，量力而行, 致力于缩小城乡差异和兼顾地区差距，保障城乡居民公平 享有基本医保待遇，实现城乡居民医保制度可持续发展。</w:t>
      </w:r>
    </w:p>
    <w:p>
      <w:pPr>
        <w:pStyle w:val="13"/>
        <w:keepNext w:val="0"/>
        <w:keepLines w:val="0"/>
        <w:widowControl w:val="0"/>
        <w:numPr>
          <w:ilvl w:val="0"/>
          <w:numId w:val="1"/>
        </w:numPr>
        <w:shd w:val="clear" w:color="auto" w:fill="auto"/>
        <w:bidi w:val="0"/>
        <w:spacing w:before="0" w:after="0" w:line="624" w:lineRule="exact"/>
        <w:ind w:left="0" w:right="0" w:firstLine="660"/>
        <w:jc w:val="both"/>
      </w:pPr>
      <w:bookmarkStart w:id="8" w:name="bookmark32"/>
      <w:bookmarkEnd w:id="8"/>
      <w:r>
        <w:rPr>
          <w:color w:val="000000"/>
          <w:spacing w:val="0"/>
          <w:w w:val="100"/>
          <w:position w:val="0"/>
        </w:rPr>
        <w:t>待遇置换，合理衔接。结合本地区实际，在系统论 证和精准测算的基础上，周密制订相关政策标准。加强整 合前后保障待遇标准的合理衔接，通过保障待遇置换妥善 处理原有保障政策，实现城乡待遇统一的平稳过渡，确保 群众基本医保待遇不受影响，确保医保基金安全和制度平 稳运行。</w:t>
      </w:r>
    </w:p>
    <w:p>
      <w:pPr>
        <w:pStyle w:val="13"/>
        <w:keepNext w:val="0"/>
        <w:keepLines w:val="0"/>
        <w:widowControl w:val="0"/>
        <w:numPr>
          <w:ilvl w:val="0"/>
          <w:numId w:val="1"/>
        </w:numPr>
        <w:shd w:val="clear" w:color="auto" w:fill="auto"/>
        <w:bidi w:val="0"/>
        <w:spacing w:before="0" w:after="0" w:line="619" w:lineRule="exact"/>
        <w:ind w:left="0" w:right="0" w:firstLine="660"/>
        <w:jc w:val="both"/>
        <w:sectPr>
          <w:footerReference r:id="rId10" w:type="default"/>
          <w:footerReference r:id="rId11" w:type="even"/>
          <w:footnotePr>
            <w:numFmt w:val="decimal"/>
          </w:footnotePr>
          <w:pgSz w:w="11900" w:h="16840"/>
          <w:pgMar w:top="1901" w:right="1523" w:bottom="1695" w:left="1521" w:header="1473" w:footer="3" w:gutter="0"/>
          <w:cols w:space="720" w:num="1"/>
          <w:rtlGutter w:val="0"/>
          <w:docGrid w:linePitch="360" w:charSpace="0"/>
        </w:sectPr>
      </w:pPr>
      <w:r>
        <w:rPr>
          <w:color w:val="000000"/>
          <w:spacing w:val="0"/>
          <w:w w:val="100"/>
          <w:position w:val="0"/>
        </w:rPr>
        <w:t xml:space="preserve">完善机制，提升效能。坚持以保基本为主，完善门 诊、住院保障政策，通过建立科学、合理、稳定的筹资和 </w:t>
      </w:r>
    </w:p>
    <w:p>
      <w:pPr>
        <w:pStyle w:val="13"/>
        <w:keepNext w:val="0"/>
        <w:keepLines w:val="0"/>
        <w:widowControl w:val="0"/>
        <w:shd w:val="clear" w:color="auto" w:fill="auto"/>
        <w:bidi w:val="0"/>
        <w:spacing w:before="0" w:after="0" w:line="619" w:lineRule="exact"/>
        <w:ind w:left="0" w:right="0" w:firstLine="0"/>
        <w:jc w:val="both"/>
      </w:pPr>
      <w:bookmarkStart w:id="9" w:name="bookmark33"/>
      <w:bookmarkEnd w:id="9"/>
      <w:r>
        <w:rPr>
          <w:color w:val="000000"/>
          <w:spacing w:val="0"/>
          <w:w w:val="100"/>
          <w:position w:val="0"/>
        </w:rPr>
        <w:t>待遇支付标准，合理界定基本医疗保险与补充保险、医疗 救助制度间的保障层次和功能定位。</w:t>
      </w:r>
    </w:p>
    <w:p>
      <w:pPr>
        <w:pStyle w:val="13"/>
        <w:keepNext w:val="0"/>
        <w:keepLines w:val="0"/>
        <w:widowControl w:val="0"/>
        <w:shd w:val="clear" w:color="auto" w:fill="auto"/>
        <w:bidi w:val="0"/>
        <w:spacing w:before="0" w:after="0" w:line="623" w:lineRule="exact"/>
        <w:ind w:left="0" w:right="0" w:firstLine="680"/>
        <w:jc w:val="both"/>
      </w:pPr>
      <w:r>
        <w:rPr>
          <w:color w:val="000000"/>
          <w:spacing w:val="0"/>
          <w:w w:val="100"/>
          <w:position w:val="0"/>
        </w:rPr>
        <w:t>（三）主要目标</w:t>
      </w:r>
    </w:p>
    <w:p>
      <w:pPr>
        <w:pStyle w:val="13"/>
        <w:keepNext w:val="0"/>
        <w:keepLines w:val="0"/>
        <w:widowControl w:val="0"/>
        <w:shd w:val="clear" w:color="auto" w:fill="auto"/>
        <w:bidi w:val="0"/>
        <w:spacing w:before="0" w:after="0" w:line="623" w:lineRule="exact"/>
        <w:ind w:left="0" w:right="0" w:firstLine="680"/>
        <w:jc w:val="both"/>
      </w:pPr>
      <w:r>
        <w:rPr>
          <w:color w:val="000000"/>
          <w:spacing w:val="0"/>
          <w:w w:val="100"/>
          <w:position w:val="0"/>
        </w:rPr>
        <w:t>2020年1月1日起，全面实施统一的城乡居民基本医 保制度，在市级统筹区域内实现保障待遇政策标准和经办 管理服务的统一，为参保人员提供公平的基本医疗保障。 统筹协调门诊和住院保障资源，形成完整的待遇保障链条, 逐步提升医疗保障制度的整体保障绩效。</w:t>
      </w:r>
    </w:p>
    <w:p>
      <w:pPr>
        <w:pStyle w:val="13"/>
        <w:keepNext w:val="0"/>
        <w:keepLines w:val="0"/>
        <w:widowControl w:val="0"/>
        <w:shd w:val="clear" w:color="auto" w:fill="auto"/>
        <w:bidi w:val="0"/>
        <w:spacing w:before="0" w:after="0" w:line="623" w:lineRule="exact"/>
        <w:ind w:left="0" w:right="0" w:firstLine="680"/>
        <w:jc w:val="both"/>
      </w:pPr>
      <w:r>
        <w:rPr>
          <w:b/>
          <w:bCs/>
          <w:color w:val="000000"/>
          <w:spacing w:val="0"/>
          <w:w w:val="100"/>
          <w:position w:val="0"/>
        </w:rPr>
        <w:t>二、统一待遇标准</w:t>
      </w:r>
    </w:p>
    <w:p>
      <w:pPr>
        <w:pStyle w:val="13"/>
        <w:keepNext w:val="0"/>
        <w:keepLines w:val="0"/>
        <w:widowControl w:val="0"/>
        <w:shd w:val="clear" w:color="auto" w:fill="auto"/>
        <w:bidi w:val="0"/>
        <w:spacing w:before="0" w:after="0" w:line="623" w:lineRule="exact"/>
        <w:ind w:left="0" w:right="0" w:firstLine="680"/>
        <w:jc w:val="both"/>
      </w:pPr>
      <w:r>
        <w:rPr>
          <w:color w:val="000000"/>
          <w:spacing w:val="0"/>
          <w:w w:val="100"/>
          <w:position w:val="0"/>
        </w:rPr>
        <w:t>参保人员在定点医疗机构发生的符合城乡居民基本医 疗保险基金支付范围的门诊医药费用，按以下政策规定范. 围执行。</w:t>
      </w:r>
    </w:p>
    <w:p>
      <w:pPr>
        <w:pStyle w:val="13"/>
        <w:keepNext w:val="0"/>
        <w:keepLines w:val="0"/>
        <w:widowControl w:val="0"/>
        <w:shd w:val="clear" w:color="auto" w:fill="auto"/>
        <w:bidi w:val="0"/>
        <w:spacing w:before="0" w:after="0" w:line="623" w:lineRule="exact"/>
        <w:ind w:left="0" w:right="0" w:firstLine="680"/>
        <w:jc w:val="both"/>
      </w:pPr>
      <w:r>
        <w:rPr>
          <w:color w:val="000000"/>
          <w:spacing w:val="0"/>
          <w:w w:val="100"/>
          <w:position w:val="0"/>
        </w:rPr>
        <w:t>（一）门诊</w:t>
      </w:r>
    </w:p>
    <w:p>
      <w:pPr>
        <w:pStyle w:val="13"/>
        <w:keepNext w:val="0"/>
        <w:keepLines w:val="0"/>
        <w:widowControl w:val="0"/>
        <w:shd w:val="clear" w:color="auto" w:fill="auto"/>
        <w:bidi w:val="0"/>
        <w:spacing w:before="0" w:after="0" w:line="623" w:lineRule="exact"/>
        <w:ind w:left="0" w:right="0" w:firstLine="680"/>
        <w:jc w:val="both"/>
      </w:pPr>
      <w:r>
        <w:rPr>
          <w:color w:val="000000"/>
          <w:spacing w:val="0"/>
          <w:w w:val="100"/>
          <w:position w:val="0"/>
        </w:rPr>
        <w:t>城乡居民门诊保障政策按照</w:t>
      </w:r>
      <w:r>
        <w:rPr>
          <w:color w:val="000000"/>
          <w:spacing w:val="0"/>
          <w:w w:val="100"/>
          <w:position w:val="0"/>
          <w:lang w:val="zh-CN" w:eastAsia="zh-CN" w:bidi="zh-CN"/>
        </w:rPr>
        <w:t>“普</w:t>
      </w:r>
      <w:r>
        <w:rPr>
          <w:color w:val="000000"/>
          <w:spacing w:val="0"/>
          <w:w w:val="100"/>
          <w:position w:val="0"/>
        </w:rPr>
        <w:t>通门诊统筹+慢病门 诊保障+特殊疾病门诊保障”的保障层次建立和完善。</w:t>
      </w:r>
    </w:p>
    <w:p>
      <w:pPr>
        <w:pStyle w:val="13"/>
        <w:keepNext w:val="0"/>
        <w:keepLines w:val="0"/>
        <w:widowControl w:val="0"/>
        <w:shd w:val="clear" w:color="auto" w:fill="auto"/>
        <w:bidi w:val="0"/>
        <w:spacing w:before="0" w:after="0" w:line="623" w:lineRule="exact"/>
        <w:ind w:left="0" w:right="0" w:firstLine="680"/>
        <w:jc w:val="both"/>
      </w:pPr>
      <w:r>
        <w:rPr>
          <w:color w:val="000000"/>
          <w:spacing w:val="0"/>
          <w:w w:val="100"/>
          <w:position w:val="0"/>
          <w:lang w:val="en-US" w:eastAsia="en-US" w:bidi="en-US"/>
        </w:rPr>
        <w:t>1.</w:t>
      </w:r>
      <w:r>
        <w:rPr>
          <w:color w:val="000000"/>
          <w:spacing w:val="0"/>
          <w:w w:val="100"/>
          <w:position w:val="0"/>
        </w:rPr>
        <w:t>健全完善普通门诊统筹制度</w:t>
      </w:r>
    </w:p>
    <w:p>
      <w:pPr>
        <w:pStyle w:val="13"/>
        <w:keepNext w:val="0"/>
        <w:keepLines w:val="0"/>
        <w:widowControl w:val="0"/>
        <w:shd w:val="clear" w:color="auto" w:fill="auto"/>
        <w:bidi w:val="0"/>
        <w:spacing w:before="0" w:after="0" w:line="623" w:lineRule="exact"/>
        <w:ind w:left="0" w:right="0" w:firstLine="680"/>
        <w:jc w:val="both"/>
      </w:pPr>
      <w:r>
        <w:rPr>
          <w:color w:val="000000"/>
          <w:spacing w:val="0"/>
          <w:w w:val="100"/>
          <w:position w:val="0"/>
        </w:rPr>
        <w:t>（1）保障范围</w:t>
      </w:r>
    </w:p>
    <w:p>
      <w:pPr>
        <w:pStyle w:val="13"/>
        <w:keepNext w:val="0"/>
        <w:keepLines w:val="0"/>
        <w:widowControl w:val="0"/>
        <w:shd w:val="clear" w:color="auto" w:fill="auto"/>
        <w:bidi w:val="0"/>
        <w:spacing w:before="0" w:after="0" w:line="623" w:lineRule="exact"/>
        <w:ind w:left="0" w:right="0" w:firstLine="680"/>
        <w:jc w:val="both"/>
        <w:sectPr>
          <w:footerReference r:id="rId12" w:type="default"/>
          <w:footerReference r:id="rId13" w:type="even"/>
          <w:footnotePr>
            <w:numFmt w:val="decimal"/>
          </w:footnotePr>
          <w:type w:val="continuous"/>
          <w:pgSz w:w="11900" w:h="16840"/>
          <w:pgMar w:top="1901" w:right="1523" w:bottom="1695" w:left="1521" w:header="1473" w:footer="3" w:gutter="0"/>
          <w:cols w:space="720" w:num="1"/>
          <w:rtlGutter w:val="0"/>
          <w:docGrid w:linePitch="360" w:charSpace="0"/>
        </w:sectPr>
      </w:pPr>
      <w:r>
        <w:rPr>
          <w:color w:val="000000"/>
          <w:spacing w:val="0"/>
          <w:w w:val="100"/>
          <w:position w:val="0"/>
        </w:rPr>
        <w:t>各统筹地区要建立与</w:t>
      </w:r>
      <w:r>
        <w:rPr>
          <w:color w:val="000000"/>
          <w:spacing w:val="0"/>
          <w:w w:val="100"/>
          <w:position w:val="0"/>
          <w:lang w:val="zh-CN" w:eastAsia="zh-CN" w:bidi="zh-CN"/>
        </w:rPr>
        <w:t>“基本</w:t>
      </w:r>
      <w:r>
        <w:rPr>
          <w:color w:val="000000"/>
          <w:spacing w:val="0"/>
          <w:w w:val="100"/>
          <w:position w:val="0"/>
        </w:rPr>
        <w:t>医疗有</w:t>
      </w:r>
      <w:r>
        <w:rPr>
          <w:color w:val="000000"/>
          <w:spacing w:val="0"/>
          <w:w w:val="100"/>
          <w:position w:val="0"/>
          <w:lang w:val="zh-CN" w:eastAsia="zh-CN" w:bidi="zh-CN"/>
        </w:rPr>
        <w:t>保障”</w:t>
      </w:r>
      <w:r>
        <w:rPr>
          <w:color w:val="000000"/>
          <w:spacing w:val="0"/>
          <w:w w:val="100"/>
          <w:position w:val="0"/>
        </w:rPr>
        <w:t>相适应的普 通门诊统筹制度，把门诊多发病、常见病，以及国家医疗 保障局等四部门联发《关于完善城乡居民高血压糖尿病门 诊用药保障机制的指导意见》（医保发〔2019〕54号，以下</w:t>
      </w:r>
    </w:p>
    <w:p>
      <w:pPr>
        <w:pStyle w:val="13"/>
        <w:keepNext w:val="0"/>
        <w:keepLines w:val="0"/>
        <w:widowControl w:val="0"/>
        <w:shd w:val="clear" w:color="auto" w:fill="auto"/>
        <w:bidi w:val="0"/>
        <w:spacing w:before="0" w:after="0" w:line="623" w:lineRule="exact"/>
        <w:ind w:left="0" w:right="0" w:firstLine="0"/>
        <w:jc w:val="both"/>
      </w:pPr>
      <w:r>
        <w:rPr>
          <w:color w:val="000000"/>
          <w:spacing w:val="0"/>
          <w:w w:val="100"/>
          <w:position w:val="0"/>
        </w:rPr>
        <w:t>简称</w:t>
      </w:r>
      <w:r>
        <w:rPr>
          <w:color w:val="000000"/>
          <w:spacing w:val="0"/>
          <w:w w:val="100"/>
          <w:position w:val="0"/>
          <w:lang w:val="zh-CN" w:eastAsia="zh-CN" w:bidi="zh-CN"/>
        </w:rPr>
        <w:t>54</w:t>
      </w:r>
      <w:r>
        <w:rPr>
          <w:color w:val="000000"/>
          <w:spacing w:val="0"/>
          <w:w w:val="100"/>
          <w:position w:val="0"/>
        </w:rPr>
        <w:t xml:space="preserve">号文件）中确定的高血压、糖尿病等门诊保障相关 用药纳入普通门诊统筹支付范围。定点医疗机构提供的诊 疗服务与家庭医生签约所提供的6项服务内容重叠的，按 《吉林省基本医疗保险家庭医生签约服务付费暂行办法》 （吉人社联字〔2018〕63号）要求执行。已纳入家庭医生签 </w:t>
      </w:r>
      <w:r>
        <w:rPr>
          <w:color w:val="737373"/>
          <w:spacing w:val="0"/>
          <w:w w:val="100"/>
          <w:position w:val="0"/>
        </w:rPr>
        <w:t>■</w:t>
      </w:r>
      <w:r>
        <w:rPr>
          <w:color w:val="000000"/>
          <w:spacing w:val="0"/>
          <w:w w:val="100"/>
          <w:position w:val="0"/>
        </w:rPr>
        <w:t>约服务医保付费内容的，不再向签约居民收取相关服务项 目的费用。按照《国家医疗保障局 财政部关于做好2019 年城乡居民基本医疗保障工作的通知》（医保发〔2019〕30 号）要求，实行个人（家庭）账户的统筹地区，应于2020 年底前取消，向普通门诊统筹平稳过渡。</w:t>
      </w:r>
    </w:p>
    <w:p>
      <w:pPr>
        <w:pStyle w:val="13"/>
        <w:keepNext w:val="0"/>
        <w:keepLines w:val="0"/>
        <w:widowControl w:val="0"/>
        <w:shd w:val="clear" w:color="auto" w:fill="auto"/>
        <w:bidi w:val="0"/>
        <w:spacing w:before="0" w:after="0" w:line="620" w:lineRule="exact"/>
        <w:ind w:left="0" w:right="0" w:firstLine="680"/>
        <w:jc w:val="left"/>
      </w:pPr>
      <w:r>
        <w:rPr>
          <w:color w:val="000000"/>
          <w:spacing w:val="0"/>
          <w:w w:val="100"/>
          <w:position w:val="0"/>
        </w:rPr>
        <w:t>（2）待遇标准</w:t>
      </w:r>
    </w:p>
    <w:p>
      <w:pPr>
        <w:pStyle w:val="13"/>
        <w:keepNext w:val="0"/>
        <w:keepLines w:val="0"/>
        <w:widowControl w:val="0"/>
        <w:shd w:val="clear" w:color="auto" w:fill="auto"/>
        <w:bidi w:val="0"/>
        <w:spacing w:before="0" w:after="0" w:line="616" w:lineRule="exact"/>
        <w:ind w:left="0" w:right="0" w:firstLine="680"/>
        <w:jc w:val="both"/>
      </w:pPr>
      <w:r>
        <w:rPr>
          <w:b/>
          <w:bCs/>
          <w:color w:val="2B2B2B"/>
          <w:spacing w:val="0"/>
          <w:w w:val="100"/>
          <w:position w:val="0"/>
        </w:rPr>
        <w:t>报销比例与报销范围。</w:t>
      </w:r>
      <w:r>
        <w:rPr>
          <w:color w:val="000000"/>
          <w:spacing w:val="0"/>
          <w:w w:val="100"/>
          <w:position w:val="0"/>
        </w:rPr>
        <w:t>普通门诊统筹在二级、一级及 以下医疗机构报销比例统一为50%。其中，按54号文件规 定高血压、糖尿病，以及原城镇居民和新农合的部分门诊 慢病中，符合二级医疗机构门诊用药范围和保障政策要求 的，可放宽至二级医疗机构。其他用药应限于一级及以下 医疗机构。</w:t>
      </w:r>
    </w:p>
    <w:p>
      <w:pPr>
        <w:pStyle w:val="13"/>
        <w:keepNext w:val="0"/>
        <w:keepLines w:val="0"/>
        <w:widowControl w:val="0"/>
        <w:shd w:val="clear" w:color="auto" w:fill="auto"/>
        <w:bidi w:val="0"/>
        <w:spacing w:before="0" w:after="940" w:line="616" w:lineRule="exact"/>
        <w:ind w:left="0" w:right="0" w:firstLine="680"/>
        <w:jc w:val="both"/>
      </w:pPr>
      <w:r>
        <w:rPr>
          <w:b/>
          <w:bCs/>
          <w:color w:val="2B2B2B"/>
          <w:spacing w:val="0"/>
          <w:w w:val="100"/>
          <w:position w:val="0"/>
        </w:rPr>
        <w:t>起付标准与报销额度。</w:t>
      </w:r>
      <w:r>
        <w:rPr>
          <w:color w:val="000000"/>
          <w:spacing w:val="0"/>
          <w:w w:val="100"/>
          <w:position w:val="0"/>
        </w:rPr>
        <w:t>普通门诊统筹在二级、一级及 以下医疗机构的起付标准（线），由各统筹地区结合基金承 受能力自行确定。在一个保险年度内，门诊报销额度设为 700元和1000元两档，由各统筹地区结合本地城乡居民可</w:t>
      </w:r>
    </w:p>
    <w:p>
      <w:pPr>
        <w:widowControl w:val="0"/>
        <w:jc w:val="center"/>
        <w:rPr>
          <w:sz w:val="2"/>
          <w:szCs w:val="2"/>
        </w:rPr>
        <w:sectPr>
          <w:footerReference r:id="rId14" w:type="default"/>
          <w:footerReference r:id="rId15" w:type="even"/>
          <w:footnotePr>
            <w:numFmt w:val="decimal"/>
          </w:footnotePr>
          <w:pgSz w:w="11900" w:h="16840"/>
          <w:pgMar w:top="1640" w:right="1533" w:bottom="770" w:left="1528" w:header="1212" w:footer="342" w:gutter="0"/>
          <w:cols w:space="720" w:num="1"/>
          <w:rtlGutter w:val="0"/>
          <w:docGrid w:linePitch="360" w:charSpace="0"/>
        </w:sectPr>
      </w:pPr>
      <w:r>
        <w:drawing>
          <wp:inline distT="0" distB="0" distL="114300" distR="114300">
            <wp:extent cx="420370" cy="158750"/>
            <wp:effectExtent l="0" t="0" r="17780" b="12700"/>
            <wp:docPr id="28" name="Picutre 28"/>
            <wp:cNvGraphicFramePr/>
            <a:graphic xmlns:a="http://schemas.openxmlformats.org/drawingml/2006/main">
              <a:graphicData uri="http://schemas.openxmlformats.org/drawingml/2006/picture">
                <pic:pic xmlns:pic="http://schemas.openxmlformats.org/drawingml/2006/picture">
                  <pic:nvPicPr>
                    <pic:cNvPr id="28" name="Picutre 28"/>
                    <pic:cNvPicPr/>
                  </pic:nvPicPr>
                  <pic:blipFill>
                    <a:blip r:embed="rId73"/>
                    <a:stretch>
                      <a:fillRect/>
                    </a:stretch>
                  </pic:blipFill>
                  <pic:spPr>
                    <a:xfrm>
                      <a:off x="0" y="0"/>
                      <a:ext cx="420370" cy="158750"/>
                    </a:xfrm>
                    <a:prstGeom prst="rect">
                      <a:avLst/>
                    </a:prstGeom>
                  </pic:spPr>
                </pic:pic>
              </a:graphicData>
            </a:graphic>
          </wp:inline>
        </w:drawing>
      </w:r>
    </w:p>
    <w:p>
      <w:pPr>
        <w:pStyle w:val="13"/>
        <w:keepNext w:val="0"/>
        <w:keepLines w:val="0"/>
        <w:widowControl w:val="0"/>
        <w:shd w:val="clear" w:color="auto" w:fill="auto"/>
        <w:bidi w:val="0"/>
        <w:spacing w:before="140" w:after="0" w:line="621" w:lineRule="exact"/>
        <w:ind w:left="0" w:right="0" w:firstLine="0"/>
        <w:jc w:val="left"/>
      </w:pPr>
      <w:r>
        <w:rPr>
          <w:color w:val="000000"/>
          <w:spacing w:val="0"/>
          <w:w w:val="100"/>
          <w:position w:val="0"/>
        </w:rPr>
        <w:t>支配性收入情况，进行选择设定。</w:t>
      </w:r>
    </w:p>
    <w:p>
      <w:pPr>
        <w:pStyle w:val="13"/>
        <w:keepNext w:val="0"/>
        <w:keepLines w:val="0"/>
        <w:widowControl w:val="0"/>
        <w:shd w:val="clear" w:color="auto" w:fill="auto"/>
        <w:bidi w:val="0"/>
        <w:spacing w:before="0" w:after="0" w:line="621" w:lineRule="exact"/>
        <w:ind w:left="0" w:right="0" w:firstLine="680"/>
        <w:jc w:val="both"/>
      </w:pPr>
      <w:r>
        <w:rPr>
          <w:color w:val="000000"/>
          <w:spacing w:val="0"/>
          <w:w w:val="100"/>
          <w:position w:val="0"/>
        </w:rPr>
        <w:t>(3)服务管理</w:t>
      </w:r>
    </w:p>
    <w:p>
      <w:pPr>
        <w:pStyle w:val="13"/>
        <w:keepNext w:val="0"/>
        <w:keepLines w:val="0"/>
        <w:widowControl w:val="0"/>
        <w:shd w:val="clear" w:color="auto" w:fill="auto"/>
        <w:bidi w:val="0"/>
        <w:spacing w:before="0" w:after="0" w:line="621" w:lineRule="exact"/>
        <w:ind w:left="0" w:right="0" w:firstLine="680"/>
        <w:jc w:val="both"/>
      </w:pPr>
      <w:r>
        <w:rPr>
          <w:color w:val="000000"/>
          <w:spacing w:val="0"/>
          <w:w w:val="100"/>
          <w:position w:val="0"/>
        </w:rPr>
        <w:t>按照普通门诊统筹与家庭医生签约服务</w:t>
      </w:r>
      <w:r>
        <w:rPr>
          <w:color w:val="000000"/>
          <w:spacing w:val="0"/>
          <w:w w:val="100"/>
          <w:position w:val="0"/>
          <w:lang w:val="zh-CN" w:eastAsia="zh-CN" w:bidi="zh-CN"/>
        </w:rPr>
        <w:t>“两种</w:t>
      </w:r>
      <w:r>
        <w:rPr>
          <w:color w:val="000000"/>
          <w:spacing w:val="0"/>
          <w:w w:val="100"/>
          <w:position w:val="0"/>
        </w:rPr>
        <w:t>制度并 行、相关待遇衔接</w:t>
      </w:r>
      <w:r>
        <w:rPr>
          <w:color w:val="000000"/>
          <w:spacing w:val="0"/>
          <w:w w:val="100"/>
          <w:position w:val="0"/>
          <w:lang w:val="en-US" w:eastAsia="en-US" w:bidi="en-US"/>
        </w:rPr>
        <w:t>"</w:t>
      </w:r>
      <w:r>
        <w:rPr>
          <w:color w:val="000000"/>
          <w:spacing w:val="0"/>
          <w:w w:val="100"/>
          <w:position w:val="0"/>
        </w:rPr>
        <w:t>的原则，城乡居民可自愿选择签约家 庭医生，并在签约家庭医生所在定点基层医疗卫生机构享 受普通门诊统筹待遇，以及家庭医生签约服务。签约居民 年度内，可根据疾病诊疗情况，最多变更一次定点基层医 疗机构。各统筹地区要加强普通门诊统筹服务管理，严格 家庭医生处方考核，防止滥开药物，按照家庭医生考核办 法和基金监管办法，强化基金绩效管理。</w:t>
      </w:r>
    </w:p>
    <w:p>
      <w:pPr>
        <w:pStyle w:val="13"/>
        <w:keepNext w:val="0"/>
        <w:keepLines w:val="0"/>
        <w:widowControl w:val="0"/>
        <w:numPr>
          <w:ilvl w:val="0"/>
          <w:numId w:val="2"/>
        </w:numPr>
        <w:shd w:val="clear" w:color="auto" w:fill="auto"/>
        <w:bidi w:val="0"/>
        <w:spacing w:before="0" w:after="0" w:line="621" w:lineRule="exact"/>
        <w:ind w:left="0" w:right="0" w:firstLine="680"/>
        <w:jc w:val="both"/>
      </w:pPr>
      <w:bookmarkStart w:id="10" w:name="bookmark34"/>
      <w:bookmarkEnd w:id="10"/>
      <w:r>
        <w:rPr>
          <w:color w:val="000000"/>
          <w:spacing w:val="0"/>
          <w:w w:val="100"/>
          <w:position w:val="0"/>
        </w:rPr>
        <w:t>统一门诊慢病保障待遇</w:t>
      </w:r>
    </w:p>
    <w:p>
      <w:pPr>
        <w:pStyle w:val="13"/>
        <w:keepNext w:val="0"/>
        <w:keepLines w:val="0"/>
        <w:widowControl w:val="0"/>
        <w:numPr>
          <w:ilvl w:val="0"/>
          <w:numId w:val="3"/>
        </w:numPr>
        <w:shd w:val="clear" w:color="auto" w:fill="auto"/>
        <w:tabs>
          <w:tab w:val="left" w:pos="1342"/>
        </w:tabs>
        <w:bidi w:val="0"/>
        <w:spacing w:before="0" w:after="0" w:line="621" w:lineRule="exact"/>
        <w:ind w:left="0" w:right="0" w:firstLine="680"/>
        <w:jc w:val="both"/>
      </w:pPr>
      <w:bookmarkStart w:id="11" w:name="bookmark35"/>
      <w:bookmarkEnd w:id="11"/>
      <w:r>
        <w:rPr>
          <w:color w:val="000000"/>
          <w:spacing w:val="0"/>
          <w:w w:val="100"/>
          <w:position w:val="0"/>
        </w:rPr>
        <w:t>全省统一病种</w:t>
      </w:r>
    </w:p>
    <w:p>
      <w:pPr>
        <w:pStyle w:val="13"/>
        <w:keepNext w:val="0"/>
        <w:keepLines w:val="0"/>
        <w:widowControl w:val="0"/>
        <w:shd w:val="clear" w:color="auto" w:fill="auto"/>
        <w:bidi w:val="0"/>
        <w:spacing w:before="0" w:after="0" w:line="621" w:lineRule="exact"/>
        <w:ind w:left="0" w:right="0" w:firstLine="680"/>
        <w:jc w:val="both"/>
      </w:pPr>
      <w:r>
        <w:rPr>
          <w:color w:val="000000"/>
          <w:spacing w:val="0"/>
          <w:w w:val="100"/>
          <w:position w:val="0"/>
        </w:rPr>
        <w:t>将风湿性心脏病(心功能II级及以上)等20种疾病分 批纳入全省门诊慢病保障范围。本指导意见实施时，先行 确定18种(附件1)。为加强医疗服务规范化管理，对全省 统一病种统一确定具体准入标准(另行发文制定)。请各统 筹地区对照执行，为深化按病种付费制度改革奠定基础。</w:t>
      </w:r>
    </w:p>
    <w:p>
      <w:pPr>
        <w:pStyle w:val="13"/>
        <w:keepNext w:val="0"/>
        <w:keepLines w:val="0"/>
        <w:widowControl w:val="0"/>
        <w:numPr>
          <w:ilvl w:val="0"/>
          <w:numId w:val="3"/>
        </w:numPr>
        <w:shd w:val="clear" w:color="auto" w:fill="auto"/>
        <w:tabs>
          <w:tab w:val="left" w:pos="1342"/>
        </w:tabs>
        <w:bidi w:val="0"/>
        <w:spacing w:before="0" w:after="0" w:line="624" w:lineRule="exact"/>
        <w:ind w:left="0" w:right="0" w:firstLine="680"/>
        <w:jc w:val="both"/>
      </w:pPr>
      <w:bookmarkStart w:id="12" w:name="bookmark36"/>
      <w:bookmarkEnd w:id="12"/>
      <w:r>
        <w:rPr>
          <w:color w:val="000000"/>
          <w:spacing w:val="0"/>
          <w:w w:val="100"/>
          <w:position w:val="0"/>
        </w:rPr>
        <w:t>各地新增病种</w:t>
      </w:r>
    </w:p>
    <w:p>
      <w:pPr>
        <w:pStyle w:val="13"/>
        <w:keepNext w:val="0"/>
        <w:keepLines w:val="0"/>
        <w:widowControl w:val="0"/>
        <w:shd w:val="clear" w:color="auto" w:fill="auto"/>
        <w:bidi w:val="0"/>
        <w:spacing w:before="0" w:after="0" w:line="624" w:lineRule="exact"/>
        <w:ind w:left="0" w:right="0" w:firstLine="680"/>
        <w:jc w:val="both"/>
      </w:pPr>
      <w:r>
        <w:rPr>
          <w:color w:val="000000"/>
          <w:spacing w:val="0"/>
          <w:w w:val="100"/>
          <w:position w:val="0"/>
        </w:rPr>
        <w:t>各统筹地区在全省统一病种保障范围的基础上，结合 地方病、本地常见病和基金承受能力等因素，可适当新增 相关门诊慢病保障病种。各统筹地区新增病种应结合基金 承受能力和本地城镇职工门诊慢病保障病种情况，在原城 镇居民和新农合门诊医保中，未纳入全省统一门诊慢病病 种的范围内选择，但总数应不超过5种。具体保障政策标准 和经办服务管理，参照全省统一病种保障政策执行。</w:t>
      </w:r>
    </w:p>
    <w:p>
      <w:pPr>
        <w:pStyle w:val="13"/>
        <w:keepNext w:val="0"/>
        <w:keepLines w:val="0"/>
        <w:widowControl w:val="0"/>
        <w:shd w:val="clear" w:color="auto" w:fill="auto"/>
        <w:bidi w:val="0"/>
        <w:spacing w:before="0" w:after="0" w:line="620" w:lineRule="exact"/>
        <w:ind w:left="0" w:right="0" w:firstLine="660"/>
        <w:jc w:val="both"/>
      </w:pPr>
      <w:bookmarkStart w:id="13" w:name="bookmark37"/>
      <w:r>
        <w:rPr>
          <w:color w:val="000000"/>
          <w:spacing w:val="0"/>
          <w:w w:val="100"/>
          <w:position w:val="0"/>
        </w:rPr>
        <w:t>（</w:t>
      </w:r>
      <w:bookmarkEnd w:id="13"/>
      <w:r>
        <w:rPr>
          <w:color w:val="000000"/>
          <w:spacing w:val="0"/>
          <w:w w:val="100"/>
          <w:position w:val="0"/>
        </w:rPr>
        <w:t>3）保障政策标准</w:t>
      </w:r>
    </w:p>
    <w:p>
      <w:pPr>
        <w:pStyle w:val="13"/>
        <w:keepNext w:val="0"/>
        <w:framePr w:dropCap="drop" w:lines="7" w:wrap="auto" w:vAnchor="text" w:hAnchor="text"/>
        <w:widowControl w:val="0"/>
        <w:shd w:val="clear" w:color="auto" w:fill="auto"/>
        <w:spacing w:before="0" w:line="5" w:lineRule="exact"/>
        <w:ind w:left="0" w:firstLine="0"/>
      </w:pPr>
      <w:r>
        <w:rPr>
          <w:rFonts w:ascii="Times New Roman" w:hAnsi="Times New Roman" w:eastAsia="Times New Roman" w:cs="Times New Roman"/>
          <w:b/>
          <w:bCs/>
          <w:color w:val="000000"/>
          <w:spacing w:val="0"/>
          <w:w w:val="100"/>
          <w:position w:val="0"/>
          <w:sz w:val="8"/>
          <w:szCs w:val="8"/>
        </w:rPr>
        <w:t>■</w:t>
      </w:r>
    </w:p>
    <w:p>
      <w:pPr>
        <w:pStyle w:val="13"/>
        <w:keepNext w:val="0"/>
        <w:keepLines w:val="0"/>
        <w:widowControl w:val="0"/>
        <w:shd w:val="clear" w:color="auto" w:fill="auto"/>
        <w:bidi w:val="0"/>
        <w:spacing w:before="0" w:after="0" w:line="619" w:lineRule="exact"/>
        <w:ind w:left="0" w:right="0" w:firstLine="0"/>
        <w:jc w:val="both"/>
      </w:pPr>
      <w:r>
        <w:rPr>
          <w:b/>
          <w:bCs/>
          <w:color w:val="737373"/>
          <w:spacing w:val="0"/>
          <w:w w:val="100"/>
          <w:position w:val="0"/>
        </w:rPr>
        <w:t xml:space="preserve"> </w:t>
      </w:r>
      <w:r>
        <w:rPr>
          <w:b/>
          <w:bCs/>
          <w:color w:val="2B2B2B"/>
          <w:spacing w:val="0"/>
          <w:w w:val="100"/>
          <w:position w:val="0"/>
        </w:rPr>
        <w:t>起付标准与报销比例。</w:t>
      </w:r>
      <w:r>
        <w:rPr>
          <w:color w:val="000000"/>
          <w:spacing w:val="0"/>
          <w:w w:val="100"/>
          <w:position w:val="0"/>
        </w:rPr>
        <w:t>全省统一病种，其省内医疗机 构发生的政策规定范围内慢病门诊医药费用报销比例为 60%,同时按病种设定年度政策范围内医疗费报销限额（附 件1）。各病种个人自付起付标准（线），由各统筹地区自行 确定。</w:t>
      </w:r>
    </w:p>
    <w:p>
      <w:pPr>
        <w:pStyle w:val="13"/>
        <w:keepNext w:val="0"/>
        <w:keepLines w:val="0"/>
        <w:widowControl w:val="0"/>
        <w:shd w:val="clear" w:color="auto" w:fill="auto"/>
        <w:bidi w:val="0"/>
        <w:spacing w:before="0" w:after="0" w:line="619" w:lineRule="exact"/>
        <w:ind w:left="0" w:right="0" w:firstLine="660"/>
        <w:jc w:val="both"/>
      </w:pPr>
      <w:r>
        <w:rPr>
          <w:color w:val="000000"/>
          <w:spacing w:val="0"/>
          <w:w w:val="100"/>
          <w:position w:val="0"/>
        </w:rPr>
        <w:t>各统筹地区参照全省统一病种的保障政策，自行规定 本地新增病种的保障政策。其中，本统筹地区职工门诊保 障低于此待遇标准的应参照执行。高于此待遇标准的，仍 按原政策执行。</w:t>
      </w:r>
    </w:p>
    <w:p>
      <w:pPr>
        <w:pStyle w:val="13"/>
        <w:keepNext w:val="0"/>
        <w:keepLines w:val="0"/>
        <w:widowControl w:val="0"/>
        <w:shd w:val="clear" w:color="auto" w:fill="auto"/>
        <w:bidi w:val="0"/>
        <w:spacing w:before="0" w:after="0" w:line="616" w:lineRule="exact"/>
        <w:ind w:left="0" w:right="0" w:firstLine="660"/>
        <w:jc w:val="both"/>
      </w:pPr>
      <w:r>
        <w:rPr>
          <w:color w:val="000000"/>
          <w:spacing w:val="0"/>
          <w:w w:val="100"/>
          <w:position w:val="0"/>
        </w:rPr>
        <w:t>全省统一病种与本地新增病种，可根据病情诊断情况， 享受多病种保障待遇。同时享受多病种保障待遇的，每增 加1个病种相应享受的待遇标准，由各统筹地区自行确定。 但一个保险年度内，基本医保对参保人员普通门诊统筹保 障和门诊慢病保障的最高报销额度不能突破6500元。</w:t>
      </w:r>
    </w:p>
    <w:p>
      <w:pPr>
        <w:pStyle w:val="13"/>
        <w:keepNext w:val="0"/>
        <w:keepLines w:val="0"/>
        <w:widowControl w:val="0"/>
        <w:numPr>
          <w:ilvl w:val="0"/>
          <w:numId w:val="2"/>
        </w:numPr>
        <w:shd w:val="clear" w:color="auto" w:fill="auto"/>
        <w:bidi w:val="0"/>
        <w:spacing w:before="0" w:after="0" w:line="616" w:lineRule="exact"/>
        <w:ind w:left="0" w:right="0" w:firstLine="660"/>
        <w:jc w:val="both"/>
      </w:pPr>
      <w:bookmarkStart w:id="14" w:name="bookmark38"/>
      <w:bookmarkEnd w:id="14"/>
      <w:r>
        <w:rPr>
          <w:color w:val="000000"/>
          <w:spacing w:val="0"/>
          <w:w w:val="100"/>
          <w:position w:val="0"/>
        </w:rPr>
        <w:t>完善门诊特殊疾病保障待遇</w:t>
      </w:r>
    </w:p>
    <w:p>
      <w:pPr>
        <w:pStyle w:val="13"/>
        <w:keepNext w:val="0"/>
        <w:keepLines w:val="0"/>
        <w:widowControl w:val="0"/>
        <w:shd w:val="clear" w:color="auto" w:fill="auto"/>
        <w:bidi w:val="0"/>
        <w:spacing w:before="0" w:after="0" w:line="616" w:lineRule="exact"/>
        <w:ind w:left="0" w:right="0" w:firstLine="660"/>
        <w:jc w:val="both"/>
      </w:pPr>
      <w:r>
        <w:rPr>
          <w:color w:val="000000"/>
          <w:spacing w:val="0"/>
          <w:w w:val="100"/>
          <w:position w:val="0"/>
        </w:rPr>
        <w:t>对制度整合期间，2号文件确定的恶性肿瘤放化疗等41 个门诊特殊疾病（附件2）,制度整合后，全省统一实施, 整体纳入城乡居民门诊特殊疾病保障范围。</w:t>
      </w:r>
    </w:p>
    <w:p>
      <w:pPr>
        <w:pStyle w:val="13"/>
        <w:keepNext w:val="0"/>
        <w:keepLines w:val="0"/>
        <w:widowControl w:val="0"/>
        <w:shd w:val="clear" w:color="auto" w:fill="auto"/>
        <w:bidi w:val="0"/>
        <w:spacing w:before="0" w:after="0" w:line="628" w:lineRule="exact"/>
        <w:ind w:left="0" w:right="0" w:firstLine="700"/>
        <w:jc w:val="both"/>
      </w:pPr>
      <w:r>
        <w:rPr>
          <w:color w:val="000000"/>
          <w:spacing w:val="0"/>
          <w:w w:val="100"/>
          <w:position w:val="0"/>
        </w:rPr>
        <w:t>门诊特殊疾病保障，原则上在二级及二级以上定点医 疗机构开展，具体定点医疗机构范围由医疗保险经办机构 通过协商签订协议方式确定。门诊特殊疾病报销比例可参 照住院报销比例执行。其中，苯丙酮尿症按照省医疗保障 局印发《关于进一步做好苯丙酮尿症基本医疗保障工作的 通知》（吉医保联〔2019〕12号）规定的相关保障待遇政策 执行。</w:t>
      </w:r>
    </w:p>
    <w:p>
      <w:pPr>
        <w:pStyle w:val="13"/>
        <w:keepNext w:val="0"/>
        <w:keepLines w:val="0"/>
        <w:widowControl w:val="0"/>
        <w:shd w:val="clear" w:color="auto" w:fill="auto"/>
        <w:bidi w:val="0"/>
        <w:spacing w:before="0" w:after="200" w:line="634" w:lineRule="exact"/>
        <w:ind w:left="0" w:right="0" w:firstLine="700"/>
        <w:jc w:val="both"/>
      </w:pPr>
      <w:r>
        <w:rPr>
          <w:color w:val="000000"/>
          <w:spacing w:val="0"/>
          <w:w w:val="100"/>
          <w:position w:val="0"/>
        </w:rPr>
        <w:t>各统筹地区要组织对这41个门诊特殊疾病进行梳理分 析、研判评估。综合考虑各病种本地发病率、医疗服务成 本以及基金承受能力等因素，通过专家评估、费用测算、 协商谈判等环节，同定点医疗机构合理确定特殊疾病的具 体付费方式和起付标准、支付标准。制定待遇保障标准时， 要考虑与本地城镇职工保障待遇间的有序衔接。</w:t>
      </w:r>
    </w:p>
    <w:p>
      <w:pPr>
        <w:pStyle w:val="13"/>
        <w:keepNext w:val="0"/>
        <w:keepLines w:val="0"/>
        <w:widowControl w:val="0"/>
        <w:shd w:val="clear" w:color="auto" w:fill="auto"/>
        <w:bidi w:val="0"/>
        <w:spacing w:before="0" w:after="0" w:line="240" w:lineRule="auto"/>
        <w:ind w:left="0" w:right="0" w:firstLine="700"/>
        <w:jc w:val="both"/>
      </w:pPr>
      <w:r>
        <w:rPr>
          <w:color w:val="000000"/>
          <w:spacing w:val="0"/>
          <w:w w:val="100"/>
          <w:position w:val="0"/>
        </w:rPr>
        <w:t>（二）住院</w:t>
      </w:r>
    </w:p>
    <w:p>
      <w:pPr>
        <w:pStyle w:val="13"/>
        <w:keepNext w:val="0"/>
        <w:keepLines w:val="0"/>
        <w:widowControl w:val="0"/>
        <w:shd w:val="clear" w:color="auto" w:fill="auto"/>
        <w:bidi w:val="0"/>
        <w:spacing w:before="0" w:after="0" w:line="629" w:lineRule="exact"/>
        <w:ind w:left="0" w:right="0" w:firstLine="700"/>
        <w:jc w:val="both"/>
      </w:pPr>
      <w:r>
        <w:rPr>
          <w:color w:val="000000"/>
          <w:spacing w:val="0"/>
          <w:w w:val="100"/>
          <w:position w:val="0"/>
          <w:lang w:val="en-US" w:eastAsia="en-US" w:bidi="en-US"/>
        </w:rPr>
        <w:t>1.</w:t>
      </w:r>
      <w:r>
        <w:rPr>
          <w:color w:val="000000"/>
          <w:spacing w:val="0"/>
          <w:w w:val="100"/>
          <w:position w:val="0"/>
        </w:rPr>
        <w:t>统一住院统筹待遇</w:t>
      </w:r>
    </w:p>
    <w:p>
      <w:pPr>
        <w:pStyle w:val="13"/>
        <w:keepNext w:val="0"/>
        <w:keepLines w:val="0"/>
        <w:widowControl w:val="0"/>
        <w:shd w:val="clear" w:color="auto" w:fill="auto"/>
        <w:bidi w:val="0"/>
        <w:spacing w:before="0" w:after="0" w:line="629" w:lineRule="exact"/>
        <w:ind w:left="0" w:right="0" w:firstLine="700"/>
        <w:jc w:val="both"/>
      </w:pPr>
      <w:r>
        <w:rPr>
          <w:color w:val="000000"/>
          <w:spacing w:val="0"/>
          <w:w w:val="100"/>
          <w:position w:val="0"/>
        </w:rPr>
        <w:t>参保城乡居民在定点医疗机构发生的符合城乡居民基 本医疗保险基金支付范围的住院医疗费用，分别设个人自 付起付标准、支付比例和年度基金支付限额。</w:t>
      </w:r>
    </w:p>
    <w:p>
      <w:pPr>
        <w:pStyle w:val="13"/>
        <w:keepNext w:val="0"/>
        <w:keepLines w:val="0"/>
        <w:widowControl w:val="0"/>
        <w:shd w:val="clear" w:color="auto" w:fill="auto"/>
        <w:bidi w:val="0"/>
        <w:spacing w:before="0" w:after="0" w:line="629" w:lineRule="exact"/>
        <w:ind w:left="0" w:right="0" w:firstLine="700"/>
        <w:jc w:val="both"/>
      </w:pPr>
      <w:r>
        <w:rPr>
          <w:color w:val="2B2B2B"/>
          <w:spacing w:val="0"/>
          <w:w w:val="100"/>
          <w:position w:val="0"/>
        </w:rPr>
        <w:t>起付标准与报销比例。</w:t>
      </w:r>
      <w:r>
        <w:rPr>
          <w:color w:val="000000"/>
          <w:spacing w:val="0"/>
          <w:w w:val="100"/>
          <w:position w:val="0"/>
        </w:rPr>
        <w:t xml:space="preserve">按照定点医疗机构级别（未定 级或级别界定不明晰的，可以医保经办机构与医疗机构定 点协议管理中，双方约定的医疗机构级别为准），确定参保 人员个人自付起付标准（线），以及按照统筹基金年度最高 支付限额分段确定报销比例（见附件3）。其中，定点医疗 机构起付标准（线），由统筹地区结合城乡居民收入水平, </w:t>
      </w:r>
      <w:r>
        <w:rPr>
          <w:color w:val="737373"/>
          <w:spacing w:val="0"/>
          <w:w w:val="100"/>
          <w:position w:val="0"/>
        </w:rPr>
        <w:t>■</w:t>
      </w:r>
      <w:r>
        <w:rPr>
          <w:color w:val="000000"/>
          <w:spacing w:val="0"/>
          <w:w w:val="100"/>
          <w:position w:val="0"/>
        </w:rPr>
        <w:t>并参照各地现行定点医疗机构起付标准自行确定。</w:t>
      </w:r>
    </w:p>
    <w:p>
      <w:pPr>
        <w:pStyle w:val="13"/>
        <w:keepNext w:val="0"/>
        <w:keepLines w:val="0"/>
        <w:widowControl w:val="0"/>
        <w:shd w:val="clear" w:color="auto" w:fill="auto"/>
        <w:bidi w:val="0"/>
        <w:spacing w:before="0" w:after="0" w:line="621" w:lineRule="exact"/>
        <w:ind w:left="0" w:right="0" w:firstLine="680"/>
        <w:jc w:val="both"/>
      </w:pPr>
      <w:r>
        <w:rPr>
          <w:color w:val="000000"/>
          <w:spacing w:val="0"/>
          <w:w w:val="100"/>
          <w:position w:val="0"/>
        </w:rPr>
        <w:t>按照分级诊疗原则，对符合规定的转诊住院患者可以 连续计算起付线。对上级医院向下级医院转诊开展后续治 疗的患者取消当次基层住院起付线。</w:t>
      </w:r>
    </w:p>
    <w:p>
      <w:pPr>
        <w:pStyle w:val="13"/>
        <w:keepNext w:val="0"/>
        <w:keepLines w:val="0"/>
        <w:widowControl w:val="0"/>
        <w:shd w:val="clear" w:color="auto" w:fill="auto"/>
        <w:bidi w:val="0"/>
        <w:spacing w:before="0" w:after="0" w:line="621" w:lineRule="exact"/>
        <w:ind w:left="0" w:right="0" w:firstLine="680"/>
        <w:jc w:val="both"/>
      </w:pPr>
      <w:r>
        <w:rPr>
          <w:b/>
          <w:bCs/>
          <w:color w:val="2B2B2B"/>
          <w:spacing w:val="0"/>
          <w:w w:val="100"/>
          <w:position w:val="0"/>
        </w:rPr>
        <w:t>支付限额及其统计口径。</w:t>
      </w:r>
      <w:r>
        <w:rPr>
          <w:color w:val="000000"/>
          <w:spacing w:val="0"/>
          <w:w w:val="100"/>
          <w:position w:val="0"/>
        </w:rPr>
        <w:t>政策范围内，城乡居民基本 医保住院统筹基金年度最高支付限额（含门诊特殊疾病、 特药保障等医疗费用支出）统一调整为20万元。</w:t>
      </w:r>
    </w:p>
    <w:p>
      <w:pPr>
        <w:pStyle w:val="13"/>
        <w:keepNext w:val="0"/>
        <w:keepLines w:val="0"/>
        <w:widowControl w:val="0"/>
        <w:shd w:val="clear" w:color="auto" w:fill="auto"/>
        <w:bidi w:val="0"/>
        <w:spacing w:before="0" w:after="0" w:line="621" w:lineRule="exact"/>
        <w:ind w:left="0" w:right="0" w:firstLine="680"/>
        <w:jc w:val="both"/>
      </w:pPr>
      <w:r>
        <w:rPr>
          <w:color w:val="000000"/>
          <w:spacing w:val="0"/>
          <w:w w:val="100"/>
          <w:position w:val="0"/>
          <w:lang w:val="en-US" w:eastAsia="en-US" w:bidi="en-US"/>
        </w:rPr>
        <w:t>2.</w:t>
      </w:r>
      <w:r>
        <w:rPr>
          <w:color w:val="000000"/>
          <w:spacing w:val="0"/>
          <w:w w:val="100"/>
          <w:position w:val="0"/>
        </w:rPr>
        <w:t>统一 42种重大疾病医疗保障待遇</w:t>
      </w:r>
    </w:p>
    <w:p>
      <w:pPr>
        <w:pStyle w:val="13"/>
        <w:keepNext w:val="0"/>
        <w:keepLines w:val="0"/>
        <w:widowControl w:val="0"/>
        <w:shd w:val="clear" w:color="auto" w:fill="auto"/>
        <w:bidi w:val="0"/>
        <w:spacing w:before="0" w:after="0" w:line="620" w:lineRule="exact"/>
        <w:ind w:left="0" w:right="0" w:firstLine="680"/>
        <w:jc w:val="both"/>
      </w:pPr>
      <w:r>
        <w:rPr>
          <w:color w:val="000000"/>
          <w:spacing w:val="0"/>
          <w:w w:val="100"/>
          <w:position w:val="0"/>
        </w:rPr>
        <w:t>为进一步提高城乡居民医疗保障水平，对原新农合儿 童白血病等42种重大疾病，实行城乡居民统一的保障政策。 针对在定点医疗机构就诊，主诊断和主要治疗操作标准明 确、诊疗技术比较成熟的疾病实行按病种付费。具体保障 政策待遇标准按《关于统一城乡居民42种重大疾病医疗保 险支付政策的通知》执行。</w:t>
      </w:r>
    </w:p>
    <w:p>
      <w:pPr>
        <w:pStyle w:val="13"/>
        <w:keepNext w:val="0"/>
        <w:keepLines w:val="0"/>
        <w:widowControl w:val="0"/>
        <w:shd w:val="clear" w:color="auto" w:fill="auto"/>
        <w:bidi w:val="0"/>
        <w:spacing w:before="0" w:after="0" w:line="620" w:lineRule="exact"/>
        <w:ind w:left="0" w:right="0" w:firstLine="680"/>
        <w:jc w:val="both"/>
        <w:sectPr>
          <w:footerReference r:id="rId16" w:type="default"/>
          <w:footerReference r:id="rId17" w:type="even"/>
          <w:footnotePr>
            <w:numFmt w:val="decimal"/>
          </w:footnotePr>
          <w:pgSz w:w="11900" w:h="16840"/>
          <w:pgMar w:top="1702" w:right="1470" w:bottom="1738" w:left="1504" w:header="1274" w:footer="3" w:gutter="0"/>
          <w:cols w:space="720" w:num="1"/>
          <w:rtlGutter w:val="0"/>
          <w:docGrid w:linePitch="360" w:charSpace="0"/>
        </w:sectPr>
      </w:pPr>
      <w:r>
        <w:rPr>
          <w:color w:val="000000"/>
          <w:spacing w:val="0"/>
          <w:w w:val="100"/>
          <w:position w:val="0"/>
        </w:rPr>
        <w:t>按照《吉林省人口和计划生育领导小组会议确定事项 清单》要求，符合条件的危重孕产妇因产科出血和妊娠合</w:t>
      </w:r>
    </w:p>
    <w:p>
      <w:pPr>
        <w:pStyle w:val="13"/>
        <w:keepNext w:val="0"/>
        <w:keepLines w:val="0"/>
        <w:widowControl w:val="0"/>
        <w:shd w:val="clear" w:color="auto" w:fill="auto"/>
        <w:bidi w:val="0"/>
        <w:spacing w:before="0" w:after="0" w:line="646" w:lineRule="exact"/>
        <w:ind w:left="0" w:right="0" w:firstLine="0"/>
        <w:jc w:val="both"/>
      </w:pPr>
      <w:r>
        <w:rPr>
          <w:color w:val="000000"/>
          <w:spacing w:val="0"/>
          <w:w w:val="100"/>
          <w:position w:val="0"/>
        </w:rPr>
        <w:t>并高血压而产生的住院医疗费用，参照城乡居民42种重大 疾病医保支付政策，逐步提升危重孕产妇的待遇保障水平。</w:t>
      </w:r>
    </w:p>
    <w:p>
      <w:pPr>
        <w:pStyle w:val="13"/>
        <w:keepNext w:val="0"/>
        <w:keepLines w:val="0"/>
        <w:widowControl w:val="0"/>
        <w:shd w:val="clear" w:color="auto" w:fill="auto"/>
        <w:bidi w:val="0"/>
        <w:spacing w:before="0" w:after="0" w:line="627" w:lineRule="exact"/>
        <w:ind w:left="0" w:right="0" w:firstLine="660"/>
        <w:jc w:val="both"/>
      </w:pPr>
      <w:r>
        <w:rPr>
          <w:color w:val="000000"/>
          <w:spacing w:val="0"/>
          <w:w w:val="100"/>
          <w:position w:val="0"/>
          <w:lang w:val="en-US" w:eastAsia="en-US" w:bidi="en-US"/>
        </w:rPr>
        <w:t>3.</w:t>
      </w:r>
      <w:r>
        <w:rPr>
          <w:color w:val="000000"/>
          <w:spacing w:val="0"/>
          <w:w w:val="100"/>
          <w:position w:val="0"/>
        </w:rPr>
        <w:t>鼓励开展日间手术</w:t>
      </w:r>
    </w:p>
    <w:p>
      <w:pPr>
        <w:pStyle w:val="13"/>
        <w:keepNext w:val="0"/>
        <w:keepLines w:val="0"/>
        <w:widowControl w:val="0"/>
        <w:shd w:val="clear" w:color="auto" w:fill="auto"/>
        <w:bidi w:val="0"/>
        <w:spacing w:before="0" w:after="0" w:line="627" w:lineRule="exact"/>
        <w:ind w:left="0" w:right="0" w:firstLine="700"/>
        <w:jc w:val="both"/>
      </w:pPr>
      <w:r>
        <w:rPr>
          <w:color w:val="000000"/>
          <w:spacing w:val="0"/>
          <w:w w:val="100"/>
          <w:position w:val="0"/>
        </w:rPr>
        <w:t>医疗机构开展日间手术治疗的，经与医疗保险经办机 构协商签订协议后，按照门诊特殊疾病统筹管理。</w:t>
      </w:r>
    </w:p>
    <w:p>
      <w:pPr>
        <w:pStyle w:val="13"/>
        <w:keepNext w:val="0"/>
        <w:keepLines w:val="0"/>
        <w:widowControl w:val="0"/>
        <w:shd w:val="clear" w:color="auto" w:fill="auto"/>
        <w:bidi w:val="0"/>
        <w:spacing w:before="0" w:after="0" w:line="627" w:lineRule="exact"/>
        <w:ind w:left="0" w:right="0" w:firstLine="700"/>
        <w:jc w:val="both"/>
      </w:pPr>
      <w:bookmarkStart w:id="15" w:name="bookmark39"/>
      <w:r>
        <w:rPr>
          <w:b/>
          <w:bCs/>
          <w:color w:val="000000"/>
          <w:spacing w:val="0"/>
          <w:w w:val="100"/>
          <w:position w:val="0"/>
        </w:rPr>
        <w:t>三</w:t>
      </w:r>
      <w:bookmarkEnd w:id="15"/>
      <w:r>
        <w:rPr>
          <w:b/>
          <w:bCs/>
          <w:color w:val="000000"/>
          <w:spacing w:val="0"/>
          <w:w w:val="100"/>
          <w:position w:val="0"/>
        </w:rPr>
        <w:t>、做好政策衔接</w:t>
      </w:r>
    </w:p>
    <w:p>
      <w:pPr>
        <w:pStyle w:val="13"/>
        <w:keepNext w:val="0"/>
        <w:keepLines w:val="0"/>
        <w:widowControl w:val="0"/>
        <w:shd w:val="clear" w:color="auto" w:fill="auto"/>
        <w:tabs>
          <w:tab w:val="left" w:pos="1534"/>
        </w:tabs>
        <w:bidi w:val="0"/>
        <w:spacing w:before="0" w:after="0" w:line="627" w:lineRule="exact"/>
        <w:ind w:left="0" w:right="0" w:firstLine="700"/>
        <w:jc w:val="both"/>
      </w:pPr>
      <w:bookmarkStart w:id="16" w:name="bookmark40"/>
      <w:r>
        <w:rPr>
          <w:color w:val="000000"/>
          <w:spacing w:val="0"/>
          <w:w w:val="100"/>
          <w:position w:val="0"/>
        </w:rPr>
        <w:t>（</w:t>
      </w:r>
      <w:bookmarkEnd w:id="16"/>
      <w:r>
        <w:rPr>
          <w:color w:val="000000"/>
          <w:spacing w:val="0"/>
          <w:w w:val="100"/>
          <w:position w:val="0"/>
        </w:rPr>
        <w:t>一）</w:t>
      </w:r>
      <w:r>
        <w:rPr>
          <w:color w:val="000000"/>
          <w:spacing w:val="0"/>
          <w:w w:val="100"/>
          <w:position w:val="0"/>
        </w:rPr>
        <w:tab/>
      </w:r>
      <w:r>
        <w:rPr>
          <w:color w:val="000000"/>
          <w:spacing w:val="0"/>
          <w:w w:val="100"/>
          <w:position w:val="0"/>
        </w:rPr>
        <w:t>确保原有享受门诊保障人员待遇整体上不降低。 各统筹地区要妥善处理政策统一前后存在的待遇差，确保 保障待遇整体上不降低。各地要摸清享受原门诊保障政策 的人员底数，建立台账管理，有序衔接新旧待遇，确保原 保障待遇执行至当期待遇终止日期。文件实施后，经审核 符合政策规定的新进人员，按新门诊政策保障待遇标准, 确定相应保障待遇。在脱贫攻坚期内，建档立卡农村贫困 人口大病兜底及相关保障待遇保持不变。基本医保向贫困 人口实施特惠保障等混淆制度功能、三重保障制度外叠床 架屋、随意扩大受益范围等靶点不聚焦的，要恢复三重保 障制度各自功能定位，并于2020年底前平稳过渡到现有三 重制度框架内，并同步做好资金并转、政策对接、管理衔 接，保持政策连续性和稳定性。</w:t>
      </w:r>
    </w:p>
    <w:p>
      <w:pPr>
        <w:pStyle w:val="13"/>
        <w:keepNext w:val="0"/>
        <w:keepLines w:val="0"/>
        <w:widowControl w:val="0"/>
        <w:shd w:val="clear" w:color="auto" w:fill="auto"/>
        <w:tabs>
          <w:tab w:val="left" w:pos="1534"/>
        </w:tabs>
        <w:bidi w:val="0"/>
        <w:spacing w:before="0" w:after="0" w:line="658" w:lineRule="exact"/>
        <w:ind w:left="0" w:right="0" w:firstLine="700"/>
        <w:jc w:val="both"/>
        <w:sectPr>
          <w:footerReference r:id="rId18" w:type="default"/>
          <w:footerReference r:id="rId19" w:type="even"/>
          <w:footnotePr>
            <w:numFmt w:val="decimal"/>
          </w:footnotePr>
          <w:type w:val="continuous"/>
          <w:pgSz w:w="11900" w:h="16840"/>
          <w:pgMar w:top="1702" w:right="1470" w:bottom="1738" w:left="1504" w:header="1274" w:footer="3" w:gutter="0"/>
          <w:cols w:space="720" w:num="1"/>
          <w:rtlGutter w:val="0"/>
          <w:docGrid w:linePitch="360" w:charSpace="0"/>
        </w:sectPr>
      </w:pPr>
      <w:bookmarkStart w:id="17" w:name="bookmark41"/>
      <w:r>
        <w:rPr>
          <w:color w:val="000000"/>
          <w:spacing w:val="0"/>
          <w:w w:val="100"/>
          <w:position w:val="0"/>
        </w:rPr>
        <w:t>（</w:t>
      </w:r>
      <w:bookmarkEnd w:id="17"/>
      <w:r>
        <w:rPr>
          <w:color w:val="000000"/>
          <w:spacing w:val="0"/>
          <w:w w:val="100"/>
          <w:position w:val="0"/>
        </w:rPr>
        <w:t>二）</w:t>
      </w:r>
      <w:r>
        <w:rPr>
          <w:color w:val="000000"/>
          <w:spacing w:val="0"/>
          <w:w w:val="100"/>
          <w:position w:val="0"/>
        </w:rPr>
        <w:tab/>
      </w:r>
      <w:r>
        <w:rPr>
          <w:color w:val="000000"/>
          <w:spacing w:val="0"/>
          <w:w w:val="100"/>
          <w:position w:val="0"/>
        </w:rPr>
        <w:t>统一实施新生儿落地参保政策。全省统一实施新 生儿落地参保政策。未实施的地区，要健全新生儿落地参</w:t>
      </w:r>
    </w:p>
    <w:p>
      <w:pPr>
        <w:pStyle w:val="13"/>
        <w:keepNext w:val="0"/>
        <w:keepLines w:val="0"/>
        <w:widowControl w:val="0"/>
        <w:shd w:val="clear" w:color="auto" w:fill="auto"/>
        <w:bidi w:val="0"/>
        <w:spacing w:before="0" w:after="0" w:line="637" w:lineRule="exact"/>
        <w:ind w:left="0" w:right="0" w:firstLine="0"/>
        <w:jc w:val="both"/>
      </w:pPr>
      <w:r>
        <w:rPr>
          <w:color w:val="000000"/>
          <w:spacing w:val="0"/>
          <w:w w:val="100"/>
          <w:position w:val="0"/>
        </w:rPr>
        <w:t>保政策；已实施的地区，要进一步完善与城乡居民保障待 遇的无缝衔接，实现城乡居民全生命周期的医疗保障，维 护参保家庭成员的医疗保险合法权益。</w:t>
      </w:r>
    </w:p>
    <w:p>
      <w:pPr>
        <w:pStyle w:val="13"/>
        <w:keepNext w:val="0"/>
        <w:keepLines w:val="0"/>
        <w:widowControl w:val="0"/>
        <w:shd w:val="clear" w:color="auto" w:fill="auto"/>
        <w:bidi w:val="0"/>
        <w:spacing w:before="0" w:after="0" w:line="630" w:lineRule="exact"/>
        <w:ind w:left="0" w:right="0" w:firstLine="700"/>
        <w:jc w:val="both"/>
      </w:pPr>
      <w:bookmarkStart w:id="18" w:name="bookmark42"/>
      <w:r>
        <w:rPr>
          <w:color w:val="000000"/>
          <w:spacing w:val="0"/>
          <w:w w:val="100"/>
          <w:position w:val="0"/>
        </w:rPr>
        <w:t>（</w:t>
      </w:r>
      <w:bookmarkEnd w:id="18"/>
      <w:r>
        <w:rPr>
          <w:color w:val="000000"/>
          <w:spacing w:val="0"/>
          <w:w w:val="100"/>
          <w:position w:val="0"/>
        </w:rPr>
        <w:t>三）统一目录内乙类医药费用自付比例。各统筹地区 医保统筹基金支付乙类药品、诊疗项目（含医用耗材）和 服务设施项目费用时，先由参保人员个人支付比例统一调 整为10% （高值医用耗材实行限价管理的除外）；支付甲类 药品、诊疗项目和服务设施项目时，不得再另行设定个人 支付比例。</w:t>
      </w:r>
    </w:p>
    <w:p>
      <w:pPr>
        <w:pStyle w:val="13"/>
        <w:keepNext w:val="0"/>
        <w:keepLines w:val="0"/>
        <w:widowControl w:val="0"/>
        <w:shd w:val="clear" w:color="auto" w:fill="auto"/>
        <w:bidi w:val="0"/>
        <w:spacing w:before="0" w:after="0" w:line="630" w:lineRule="exact"/>
        <w:ind w:left="0" w:right="0" w:firstLine="700"/>
        <w:jc w:val="both"/>
      </w:pPr>
      <w:bookmarkStart w:id="19" w:name="bookmark43"/>
      <w:r>
        <w:rPr>
          <w:b/>
          <w:bCs/>
          <w:color w:val="000000"/>
          <w:spacing w:val="0"/>
          <w:w w:val="100"/>
          <w:position w:val="0"/>
        </w:rPr>
        <w:t>四</w:t>
      </w:r>
      <w:bookmarkEnd w:id="19"/>
      <w:r>
        <w:rPr>
          <w:b/>
          <w:bCs/>
          <w:color w:val="000000"/>
          <w:spacing w:val="0"/>
          <w:w w:val="100"/>
          <w:position w:val="0"/>
        </w:rPr>
        <w:t>、健全保障措施</w:t>
      </w:r>
    </w:p>
    <w:p>
      <w:pPr>
        <w:pStyle w:val="13"/>
        <w:keepNext w:val="0"/>
        <w:keepLines w:val="0"/>
        <w:widowControl w:val="0"/>
        <w:shd w:val="clear" w:color="auto" w:fill="auto"/>
        <w:bidi w:val="0"/>
        <w:spacing w:before="0" w:after="0" w:line="630" w:lineRule="exact"/>
        <w:ind w:left="0" w:right="0" w:firstLine="700"/>
        <w:jc w:val="both"/>
      </w:pPr>
      <w:r>
        <w:rPr>
          <w:color w:val="000000"/>
          <w:spacing w:val="0"/>
          <w:w w:val="100"/>
          <w:position w:val="0"/>
        </w:rPr>
        <w:t>（―）完善多渠道筹资机制。适当调整和提高个人筹资 标准，在精算平衡的基础上，逐步建立个人缴费标准与经 济社会发展水平、政府补助标准、城乡居民可支配收入相 适应的稳定筹资机制。合理界定学生</w:t>
      </w:r>
      <w:r>
        <w:rPr>
          <w:color w:val="000000"/>
          <w:spacing w:val="0"/>
          <w:w w:val="100"/>
          <w:position w:val="0"/>
          <w:lang w:val="zh-CN" w:eastAsia="zh-CN" w:bidi="zh-CN"/>
        </w:rPr>
        <w:t>儿童与</w:t>
      </w:r>
      <w:r>
        <w:rPr>
          <w:color w:val="000000"/>
          <w:spacing w:val="0"/>
          <w:w w:val="100"/>
          <w:position w:val="0"/>
        </w:rPr>
        <w:t xml:space="preserve">成年人缴费标 准的比例关系，逐步将这两类群体缴费标准的比例稳定在 1： </w:t>
      </w:r>
      <w:r>
        <w:rPr>
          <w:color w:val="000000"/>
          <w:spacing w:val="0"/>
          <w:w w:val="100"/>
          <w:position w:val="0"/>
          <w:lang w:val="en-US" w:eastAsia="en-US" w:bidi="en-US"/>
        </w:rPr>
        <w:t>1.5</w:t>
      </w:r>
      <w:r>
        <w:rPr>
          <w:color w:val="000000"/>
          <w:spacing w:val="0"/>
          <w:w w:val="100"/>
          <w:position w:val="0"/>
        </w:rPr>
        <w:t>左右。指导有条件的地区，探索加大对不同困难群 体资助参保的政策措施。拓宽筹资渠道，引导鼓励更多社 会组织、慈善基金和公益性捐助资金等相关社会力量多方 筹资，资助困难群体参加医疗保险，引导城乡居民持续 参保。</w:t>
      </w:r>
    </w:p>
    <w:p>
      <w:pPr>
        <w:pStyle w:val="13"/>
        <w:keepNext w:val="0"/>
        <w:keepLines w:val="0"/>
        <w:widowControl w:val="0"/>
        <w:shd w:val="clear" w:color="auto" w:fill="auto"/>
        <w:bidi w:val="0"/>
        <w:spacing w:before="0" w:after="780" w:line="630" w:lineRule="exact"/>
        <w:ind w:left="0" w:right="0" w:firstLine="700"/>
        <w:jc w:val="both"/>
      </w:pPr>
      <w:r>
        <w:rPr>
          <w:color w:val="000000"/>
          <w:spacing w:val="0"/>
          <w:w w:val="100"/>
          <w:position w:val="0"/>
        </w:rPr>
        <w:t>（二）健全待遇正常调整机制。根据城乡居民人均收入</w:t>
      </w:r>
    </w:p>
    <w:p>
      <w:pPr>
        <w:widowControl w:val="0"/>
        <w:jc w:val="center"/>
        <w:rPr>
          <w:sz w:val="2"/>
          <w:szCs w:val="2"/>
        </w:rPr>
        <w:sectPr>
          <w:footerReference r:id="rId20" w:type="default"/>
          <w:footerReference r:id="rId21" w:type="even"/>
          <w:footnotePr>
            <w:numFmt w:val="decimal"/>
          </w:footnotePr>
          <w:pgSz w:w="11900" w:h="16840"/>
          <w:pgMar w:top="1640" w:right="1537" w:bottom="770" w:left="1437" w:header="1212" w:footer="342" w:gutter="0"/>
          <w:cols w:space="720" w:num="1"/>
          <w:rtlGutter w:val="0"/>
          <w:docGrid w:linePitch="360" w:charSpace="0"/>
        </w:sectPr>
      </w:pPr>
      <w:r>
        <w:drawing>
          <wp:inline distT="0" distB="0" distL="114300" distR="114300">
            <wp:extent cx="420370" cy="158750"/>
            <wp:effectExtent l="0" t="0" r="17780" b="12700"/>
            <wp:docPr id="37" name="Picutre 37"/>
            <wp:cNvGraphicFramePr/>
            <a:graphic xmlns:a="http://schemas.openxmlformats.org/drawingml/2006/main">
              <a:graphicData uri="http://schemas.openxmlformats.org/drawingml/2006/picture">
                <pic:pic xmlns:pic="http://schemas.openxmlformats.org/drawingml/2006/picture">
                  <pic:nvPicPr>
                    <pic:cNvPr id="37" name="Picutre 37"/>
                    <pic:cNvPicPr/>
                  </pic:nvPicPr>
                  <pic:blipFill>
                    <a:blip r:embed="rId74"/>
                    <a:stretch>
                      <a:fillRect/>
                    </a:stretch>
                  </pic:blipFill>
                  <pic:spPr>
                    <a:xfrm>
                      <a:off x="0" y="0"/>
                      <a:ext cx="420370" cy="158750"/>
                    </a:xfrm>
                    <a:prstGeom prst="rect">
                      <a:avLst/>
                    </a:prstGeom>
                  </pic:spPr>
                </pic:pic>
              </a:graphicData>
            </a:graphic>
          </wp:inline>
        </w:drawing>
      </w:r>
    </w:p>
    <w:p>
      <w:pPr>
        <w:pStyle w:val="13"/>
        <w:keepNext w:val="0"/>
        <w:keepLines w:val="0"/>
        <w:widowControl w:val="0"/>
        <w:shd w:val="clear" w:color="auto" w:fill="auto"/>
        <w:bidi w:val="0"/>
        <w:spacing w:before="0" w:after="0" w:line="622" w:lineRule="exact"/>
        <w:ind w:left="0" w:right="0" w:firstLine="0"/>
        <w:jc w:val="both"/>
      </w:pPr>
      <w:r>
        <w:rPr>
          <w:color w:val="000000"/>
          <w:spacing w:val="0"/>
          <w:w w:val="100"/>
          <w:position w:val="0"/>
        </w:rPr>
        <w:t>水平，动态调整各保障层次医保待遇标准。逐步建立健全 保障待遇水平与医疗服务价格、城乡居民可支配性收入等 因素联动的城乡居民基本医疗保险待遇标准正常调整机制。 确保城乡居民医保与城镇职工医保待遇水平保持合理的梯 度结构，形成待遇支付水平的层次化、均衡化。</w:t>
      </w:r>
    </w:p>
    <w:p>
      <w:pPr>
        <w:pStyle w:val="13"/>
        <w:keepNext w:val="0"/>
        <w:framePr w:dropCap="drop" w:lines="2" w:hSpace="2" w:vSpace="2" w:wrap="auto" w:vAnchor="text" w:hAnchor="text"/>
        <w:widowControl w:val="0"/>
        <w:shd w:val="clear" w:color="auto" w:fill="auto"/>
        <w:spacing w:before="0" w:line="5" w:lineRule="exact"/>
        <w:ind w:left="0" w:firstLine="0"/>
      </w:pPr>
      <w:r>
        <w:rPr>
          <w:rFonts w:ascii="Times New Roman" w:hAnsi="Times New Roman" w:eastAsia="Times New Roman" w:cs="Times New Roman"/>
          <w:color w:val="000000"/>
          <w:spacing w:val="0"/>
          <w:w w:val="100"/>
          <w:position w:val="0"/>
          <w:sz w:val="8"/>
          <w:szCs w:val="8"/>
        </w:rPr>
        <w:t>■</w:t>
      </w:r>
    </w:p>
    <w:p>
      <w:pPr>
        <w:pStyle w:val="13"/>
        <w:keepNext w:val="0"/>
        <w:keepLines w:val="0"/>
        <w:widowControl w:val="0"/>
        <w:shd w:val="clear" w:color="auto" w:fill="auto"/>
        <w:bidi w:val="0"/>
        <w:spacing w:before="0" w:after="0" w:line="622" w:lineRule="exact"/>
        <w:ind w:left="0" w:right="0" w:firstLine="0"/>
        <w:jc w:val="both"/>
      </w:pPr>
      <w:r>
        <w:rPr>
          <w:color w:val="737373"/>
          <w:spacing w:val="0"/>
          <w:w w:val="100"/>
          <w:position w:val="0"/>
        </w:rPr>
        <w:t xml:space="preserve"> </w:t>
      </w:r>
      <w:r>
        <w:rPr>
          <w:color w:val="000000"/>
          <w:spacing w:val="0"/>
          <w:w w:val="100"/>
          <w:position w:val="0"/>
        </w:rPr>
        <w:t>（三）建立待遇激励共济机制。依托多层次统筹保障制 度，探索建立城乡居民待遇激励共济机制。普通门诊统筹 当年未使用限额可调剂至门诊慢性病限额；普通门诊统筹、 门诊慢性病当年未使用限额可调剂至住院（特病）使用。 当年未使用的门诊待遇限额，可按一定比例折算，结转至 下一年度合并累计使用；或经一定累积（计），可提高下一 年度的基金支付比例，激励参保人员参与保障待遇绩效 管理。</w:t>
      </w:r>
    </w:p>
    <w:p>
      <w:pPr>
        <w:pStyle w:val="13"/>
        <w:keepNext w:val="0"/>
        <w:keepLines w:val="0"/>
        <w:widowControl w:val="0"/>
        <w:shd w:val="clear" w:color="auto" w:fill="auto"/>
        <w:bidi w:val="0"/>
        <w:spacing w:before="0" w:after="0" w:line="621" w:lineRule="exact"/>
        <w:ind w:left="0" w:right="0" w:firstLine="680"/>
        <w:jc w:val="both"/>
      </w:pPr>
      <w:bookmarkStart w:id="20" w:name="bookmark44"/>
      <w:r>
        <w:rPr>
          <w:color w:val="000000"/>
          <w:spacing w:val="0"/>
          <w:w w:val="100"/>
          <w:position w:val="0"/>
        </w:rPr>
        <w:t>（</w:t>
      </w:r>
      <w:bookmarkEnd w:id="20"/>
      <w:r>
        <w:rPr>
          <w:color w:val="000000"/>
          <w:spacing w:val="0"/>
          <w:w w:val="100"/>
          <w:position w:val="0"/>
        </w:rPr>
        <w:t>四）优化医疗保险付费机制。各统筹地区要不断完善 医疗保险支付机制和利益调控机制，通过合理均衡门诊和 住院保障待遇，运用医疗保险差别支付杠杆，激发医疗机 构规范行为、控制成本、合理收治和转诊患者的内生动力， 引导参保人员有序就医。健全医疗保险对医疗行为的激励 约束机制及质量评价机制和医疗费用控制机制，支持分级 诊疗模式和家庭医生签约服务制度建设，将符合规定的家 庭医生签约服务医保付费政策与门诊医保待遇保障功能有 机结合。依托基层医疗卫生机构推行按人头付费，各地根 据基础包签约数量，将家庭医生签约服务费中医保支付的 部分（每人20元/年）全额列入基金支出预算及年度定点机 构总额控制指标。明确按人头付费的医保基金承担的家庭 医生签约基础性服务包付费应涵盖一般诊疗费和基本医疗 服务的相关费用。未签约居民，仍按原就医渠道和医保政 策执行，全面落实一般诊疗费医保支付政策，将挂号费、 诊查费、注射费、药事服务费合并，按政策标准支付。定 点医疗机构一般诊疗费实行总额控制、预算管理，年度预 算总额由当地医保经办机构会同定点医疗机构共同测算确 定。鼓励定点医疗机构做好健康管理，发挥家庭医生在医 疗保险控费方面的</w:t>
      </w:r>
      <w:r>
        <w:rPr>
          <w:color w:val="000000"/>
          <w:spacing w:val="0"/>
          <w:w w:val="100"/>
          <w:position w:val="0"/>
          <w:lang w:val="zh-CN" w:eastAsia="zh-CN" w:bidi="zh-CN"/>
        </w:rPr>
        <w:t>“守</w:t>
      </w:r>
      <w:r>
        <w:rPr>
          <w:color w:val="000000"/>
          <w:spacing w:val="0"/>
          <w:w w:val="100"/>
          <w:position w:val="0"/>
        </w:rPr>
        <w:t>门人"作用。</w:t>
      </w:r>
    </w:p>
    <w:p>
      <w:pPr>
        <w:pStyle w:val="13"/>
        <w:keepNext w:val="0"/>
        <w:keepLines w:val="0"/>
        <w:widowControl w:val="0"/>
        <w:shd w:val="clear" w:color="auto" w:fill="auto"/>
        <w:bidi w:val="0"/>
        <w:spacing w:before="0" w:after="0" w:line="622" w:lineRule="exact"/>
        <w:ind w:left="0" w:right="0" w:firstLine="680"/>
        <w:jc w:val="both"/>
      </w:pPr>
      <w:bookmarkStart w:id="21" w:name="bookmark45"/>
      <w:r>
        <w:rPr>
          <w:b/>
          <w:bCs/>
          <w:color w:val="000000"/>
          <w:spacing w:val="0"/>
          <w:w w:val="100"/>
          <w:position w:val="0"/>
        </w:rPr>
        <w:t>五</w:t>
      </w:r>
      <w:bookmarkEnd w:id="21"/>
      <w:r>
        <w:rPr>
          <w:b/>
          <w:bCs/>
          <w:color w:val="000000"/>
          <w:spacing w:val="0"/>
          <w:w w:val="100"/>
          <w:position w:val="0"/>
        </w:rPr>
        <w:t>、工作要求</w:t>
      </w:r>
    </w:p>
    <w:p>
      <w:pPr>
        <w:pStyle w:val="13"/>
        <w:keepNext w:val="0"/>
        <w:keepLines w:val="0"/>
        <w:widowControl w:val="0"/>
        <w:shd w:val="clear" w:color="auto" w:fill="auto"/>
        <w:tabs>
          <w:tab w:val="left" w:pos="1518"/>
        </w:tabs>
        <w:bidi w:val="0"/>
        <w:spacing w:before="0" w:after="0" w:line="622" w:lineRule="exact"/>
        <w:ind w:left="0" w:right="0" w:firstLine="680"/>
        <w:jc w:val="both"/>
      </w:pPr>
      <w:bookmarkStart w:id="22" w:name="bookmark46"/>
      <w:r>
        <w:rPr>
          <w:color w:val="000000"/>
          <w:spacing w:val="0"/>
          <w:w w:val="100"/>
          <w:position w:val="0"/>
        </w:rPr>
        <w:t>（</w:t>
      </w:r>
      <w:bookmarkEnd w:id="22"/>
      <w:r>
        <w:rPr>
          <w:color w:val="000000"/>
          <w:spacing w:val="0"/>
          <w:w w:val="100"/>
          <w:position w:val="0"/>
        </w:rPr>
        <w:t>一）</w:t>
      </w:r>
      <w:r>
        <w:rPr>
          <w:color w:val="000000"/>
          <w:spacing w:val="0"/>
          <w:w w:val="100"/>
          <w:position w:val="0"/>
        </w:rPr>
        <w:tab/>
      </w:r>
      <w:r>
        <w:rPr>
          <w:color w:val="000000"/>
          <w:spacing w:val="0"/>
          <w:w w:val="100"/>
          <w:position w:val="0"/>
        </w:rPr>
        <w:t>提高政治站位，增强制度生命活力。健全完善城 乡居民医疗保险制度，是我省深化医药卫生体制改革，全 面推进健康吉林建设的重要举措，是进一步健全我省</w:t>
      </w:r>
      <w:r>
        <w:rPr>
          <w:color w:val="000000"/>
          <w:spacing w:val="0"/>
          <w:w w:val="100"/>
          <w:position w:val="0"/>
          <w:lang w:val="zh-CN" w:eastAsia="zh-CN" w:bidi="zh-CN"/>
        </w:rPr>
        <w:t xml:space="preserve">“全 </w:t>
      </w:r>
      <w:r>
        <w:rPr>
          <w:color w:val="000000"/>
          <w:spacing w:val="0"/>
          <w:w w:val="100"/>
          <w:position w:val="0"/>
        </w:rPr>
        <w:t>民医保”制度体系的组成部分，各统筹地区要始终把让人 民享有公平可持续的医保待遇作为多层次医疗保障制度体 系建设的主线，增强医保制度的吸引力和参保群众的认 同感。</w:t>
      </w:r>
    </w:p>
    <w:p>
      <w:pPr>
        <w:pStyle w:val="13"/>
        <w:keepNext w:val="0"/>
        <w:keepLines w:val="0"/>
        <w:widowControl w:val="0"/>
        <w:shd w:val="clear" w:color="auto" w:fill="auto"/>
        <w:tabs>
          <w:tab w:val="left" w:pos="1518"/>
        </w:tabs>
        <w:bidi w:val="0"/>
        <w:spacing w:before="0" w:after="0" w:line="622" w:lineRule="exact"/>
        <w:ind w:left="0" w:right="0" w:firstLine="680"/>
        <w:jc w:val="both"/>
        <w:sectPr>
          <w:footerReference r:id="rId22" w:type="default"/>
          <w:footerReference r:id="rId23" w:type="even"/>
          <w:footnotePr>
            <w:numFmt w:val="decimal"/>
          </w:footnotePr>
          <w:pgSz w:w="11900" w:h="16840"/>
          <w:pgMar w:top="1760" w:right="1526" w:bottom="1708" w:left="1463" w:header="1332" w:footer="3" w:gutter="0"/>
          <w:cols w:space="720" w:num="1"/>
          <w:rtlGutter w:val="0"/>
          <w:docGrid w:linePitch="360" w:charSpace="0"/>
        </w:sectPr>
      </w:pPr>
      <w:bookmarkStart w:id="23" w:name="bookmark47"/>
      <w:r>
        <w:rPr>
          <w:color w:val="000000"/>
          <w:spacing w:val="0"/>
          <w:w w:val="100"/>
          <w:position w:val="0"/>
        </w:rPr>
        <w:t>（</w:t>
      </w:r>
      <w:bookmarkEnd w:id="23"/>
      <w:r>
        <w:rPr>
          <w:color w:val="000000"/>
          <w:spacing w:val="0"/>
          <w:w w:val="100"/>
          <w:position w:val="0"/>
        </w:rPr>
        <w:t>二）</w:t>
      </w:r>
      <w:r>
        <w:rPr>
          <w:color w:val="000000"/>
          <w:spacing w:val="0"/>
          <w:w w:val="100"/>
          <w:position w:val="0"/>
        </w:rPr>
        <w:tab/>
      </w:r>
      <w:r>
        <w:rPr>
          <w:color w:val="000000"/>
          <w:spacing w:val="0"/>
          <w:w w:val="100"/>
          <w:position w:val="0"/>
        </w:rPr>
        <w:t>坚守制度底线，做好基金运行分析。各统筹地区</w:t>
      </w:r>
    </w:p>
    <w:p>
      <w:pPr>
        <w:pStyle w:val="13"/>
        <w:keepNext w:val="0"/>
        <w:keepLines w:val="0"/>
        <w:widowControl w:val="0"/>
        <w:shd w:val="clear" w:color="auto" w:fill="auto"/>
        <w:bidi w:val="0"/>
        <w:spacing w:before="0" w:after="0" w:line="630" w:lineRule="exact"/>
        <w:ind w:left="0" w:right="0" w:firstLine="0"/>
        <w:jc w:val="both"/>
      </w:pPr>
      <w:r>
        <w:rPr>
          <w:color w:val="000000"/>
          <w:spacing w:val="0"/>
          <w:w w:val="100"/>
          <w:position w:val="0"/>
        </w:rPr>
        <w:t>在认真做好数据测算和风险评估基础上，制定出台本地相 关政策措施和具体落实方案。各地要把完善居民医保政策 与医疗保障事业</w:t>
      </w:r>
      <w:r>
        <w:rPr>
          <w:color w:val="000000"/>
          <w:spacing w:val="0"/>
          <w:w w:val="100"/>
          <w:position w:val="0"/>
          <w:lang w:val="zh-CN" w:eastAsia="zh-CN" w:bidi="zh-CN"/>
        </w:rPr>
        <w:t>“十</w:t>
      </w:r>
      <w:r>
        <w:rPr>
          <w:color w:val="000000"/>
          <w:spacing w:val="0"/>
          <w:w w:val="100"/>
          <w:position w:val="0"/>
        </w:rPr>
        <w:t>四五”规划相结合，加强政策调整前 后基金运行的监测和管理。及时制定预警方案，强化医疗 服务管理，提高基金互助共济和抗风险能力。在政策调整 和执行过程中遇到的新情况新问题要研究解决办法，重大 问题要及时报告。</w:t>
      </w:r>
    </w:p>
    <w:p>
      <w:pPr>
        <w:pStyle w:val="13"/>
        <w:keepNext w:val="0"/>
        <w:keepLines w:val="0"/>
        <w:widowControl w:val="0"/>
        <w:shd w:val="clear" w:color="auto" w:fill="auto"/>
        <w:bidi w:val="0"/>
        <w:spacing w:before="0" w:after="0" w:line="630" w:lineRule="exact"/>
        <w:ind w:left="0" w:right="0" w:firstLine="680"/>
        <w:jc w:val="both"/>
      </w:pPr>
      <w:r>
        <w:rPr>
          <w:color w:val="000000"/>
          <w:spacing w:val="0"/>
          <w:w w:val="100"/>
          <w:position w:val="0"/>
        </w:rPr>
        <w:t>（三）坚持保障适度，合理引导保障预期。各地要加强 政策宣传和舆论引导，充分利用广播、电视、报刊、网络 等新闻媒体，准确解读政策，妥善回应公众关切，提高和 扩大惠民政策的影响力。既要使群众广泛了解政策规定、 业务办理流程等，又要合理引导社会预期，科学划分城乡 基本医疗保险和大病保险、社会保险和商业保险、医疗保 险与公共卫生等制度政策的保障边界，明确各方权利、义 务，引导参保患者理性就医，增强全社会的保险责任意识, 为政策调整实施营造良好的社会氛围。</w:t>
      </w:r>
    </w:p>
    <w:p>
      <w:pPr>
        <w:pStyle w:val="13"/>
        <w:keepNext w:val="0"/>
        <w:keepLines w:val="0"/>
        <w:widowControl w:val="0"/>
        <w:shd w:val="clear" w:color="auto" w:fill="auto"/>
        <w:bidi w:val="0"/>
        <w:spacing w:before="0" w:after="620" w:line="630" w:lineRule="exact"/>
        <w:ind w:left="0" w:right="0" w:firstLine="680"/>
        <w:jc w:val="both"/>
      </w:pPr>
      <w:r>
        <w:rPr>
          <w:color w:val="000000"/>
          <w:spacing w:val="0"/>
          <w:w w:val="100"/>
          <w:position w:val="0"/>
        </w:rPr>
        <w:t>本指导意见从2020年1月1日起执行，关于高血压、 糖尿病门诊的用药保障，以专项通知的执行时间为准。</w:t>
      </w:r>
    </w:p>
    <w:p>
      <w:pPr>
        <w:pStyle w:val="13"/>
        <w:keepNext w:val="0"/>
        <w:keepLines w:val="0"/>
        <w:widowControl w:val="0"/>
        <w:shd w:val="clear" w:color="auto" w:fill="auto"/>
        <w:bidi w:val="0"/>
        <w:spacing w:before="0" w:after="0" w:line="624" w:lineRule="exact"/>
        <w:ind w:left="2120" w:right="0" w:hanging="1440"/>
        <w:jc w:val="both"/>
      </w:pPr>
      <w:r>
        <w:rPr>
          <w:color w:val="000000"/>
          <w:spacing w:val="0"/>
          <w:w w:val="100"/>
          <w:position w:val="0"/>
        </w:rPr>
        <w:t>附件：</w:t>
      </w:r>
      <w:r>
        <w:rPr>
          <w:color w:val="000000"/>
          <w:spacing w:val="0"/>
          <w:w w:val="100"/>
          <w:position w:val="0"/>
          <w:lang w:val="en-US" w:eastAsia="en-US" w:bidi="en-US"/>
        </w:rPr>
        <w:t>1.</w:t>
      </w:r>
      <w:r>
        <w:rPr>
          <w:color w:val="000000"/>
          <w:spacing w:val="0"/>
          <w:w w:val="100"/>
          <w:position w:val="0"/>
        </w:rPr>
        <w:t>城乡居民基本医疗保险门诊慢病全省统一病 种、支付比例和支付限额参考表</w:t>
      </w:r>
    </w:p>
    <w:p>
      <w:pPr>
        <w:pStyle w:val="13"/>
        <w:keepNext w:val="0"/>
        <w:keepLines w:val="0"/>
        <w:widowControl w:val="0"/>
        <w:numPr>
          <w:ilvl w:val="0"/>
          <w:numId w:val="4"/>
        </w:numPr>
        <w:shd w:val="clear" w:color="auto" w:fill="auto"/>
        <w:tabs>
          <w:tab w:val="left" w:pos="1646"/>
        </w:tabs>
        <w:bidi w:val="0"/>
        <w:spacing w:before="0" w:after="0" w:line="679" w:lineRule="exact"/>
        <w:ind w:left="1640" w:right="0" w:hanging="440"/>
        <w:jc w:val="left"/>
      </w:pPr>
      <w:bookmarkStart w:id="24" w:name="bookmark48"/>
      <w:bookmarkEnd w:id="24"/>
      <w:r>
        <w:rPr>
          <w:color w:val="000000"/>
          <w:spacing w:val="0"/>
          <w:w w:val="100"/>
          <w:position w:val="0"/>
        </w:rPr>
        <w:t>城乡居民基本医疗保险门诊特病全省统一病 种参考表</w:t>
      </w:r>
    </w:p>
    <w:p>
      <w:pPr>
        <w:pStyle w:val="13"/>
        <w:keepNext w:val="0"/>
        <w:keepLines w:val="0"/>
        <w:widowControl w:val="0"/>
        <w:numPr>
          <w:ilvl w:val="0"/>
          <w:numId w:val="4"/>
        </w:numPr>
        <w:shd w:val="clear" w:color="auto" w:fill="auto"/>
        <w:tabs>
          <w:tab w:val="left" w:pos="439"/>
        </w:tabs>
        <w:bidi w:val="0"/>
        <w:spacing w:before="0" w:after="0" w:line="679" w:lineRule="exact"/>
        <w:ind w:left="0" w:right="0" w:firstLine="0"/>
        <w:jc w:val="center"/>
        <w:sectPr>
          <w:footerReference r:id="rId26" w:type="first"/>
          <w:footerReference r:id="rId24" w:type="default"/>
          <w:footerReference r:id="rId25" w:type="even"/>
          <w:footnotePr>
            <w:numFmt w:val="decimal"/>
          </w:footnotePr>
          <w:pgSz w:w="11900" w:h="16840"/>
          <w:pgMar w:top="1760" w:right="1526" w:bottom="1708" w:left="1463" w:header="0" w:footer="3" w:gutter="0"/>
          <w:cols w:space="720" w:num="1"/>
          <w:titlePg/>
          <w:rtlGutter w:val="0"/>
          <w:docGrid w:linePitch="360" w:charSpace="0"/>
        </w:sectPr>
      </w:pPr>
      <w:bookmarkStart w:id="25" w:name="bookmark49"/>
      <w:bookmarkEnd w:id="25"/>
      <w:r>
        <w:rPr>
          <w:color w:val="000000"/>
          <w:spacing w:val="0"/>
          <w:w w:val="100"/>
          <w:position w:val="0"/>
        </w:rPr>
        <w:t>城乡居民基本医保住院费用报销比例表</w:t>
      </w:r>
    </w:p>
    <w:p>
      <w:pPr>
        <w:pStyle w:val="15"/>
        <w:keepNext/>
        <w:keepLines/>
        <w:widowControl w:val="0"/>
        <w:shd w:val="clear" w:color="auto" w:fill="auto"/>
        <w:bidi w:val="0"/>
        <w:spacing w:before="0" w:after="220" w:line="240" w:lineRule="auto"/>
        <w:ind w:left="0" w:right="0" w:firstLine="0"/>
        <w:jc w:val="center"/>
      </w:pPr>
      <w:bookmarkStart w:id="26" w:name="bookmark52"/>
      <w:bookmarkStart w:id="27" w:name="bookmark51"/>
      <w:bookmarkStart w:id="28" w:name="bookmark50"/>
      <w:r>
        <w:rPr>
          <w:color w:val="2B2B2B"/>
          <w:spacing w:val="0"/>
          <w:w w:val="100"/>
          <w:position w:val="0"/>
        </w:rPr>
        <w:t>城乡居民基本医疗保险门诊慢病全省统一病种</w:t>
      </w:r>
      <w:bookmarkEnd w:id="26"/>
    </w:p>
    <w:p>
      <w:pPr>
        <w:pStyle w:val="15"/>
        <w:keepNext/>
        <w:keepLines/>
        <w:widowControl w:val="0"/>
        <w:shd w:val="clear" w:color="auto" w:fill="auto"/>
        <w:bidi w:val="0"/>
        <w:spacing w:before="0" w:after="660" w:line="240" w:lineRule="auto"/>
        <w:ind w:left="0" w:right="0" w:firstLine="0"/>
        <w:jc w:val="center"/>
      </w:pPr>
      <w:bookmarkStart w:id="29" w:name="bookmark53"/>
      <w:r>
        <w:rPr>
          <w:color w:val="2B2B2B"/>
          <w:spacing w:val="0"/>
          <w:w w:val="100"/>
          <w:position w:val="0"/>
        </w:rPr>
        <w:t>支付比例和支付限额参考表</w:t>
      </w:r>
      <w:bookmarkEnd w:id="27"/>
      <w:bookmarkEnd w:id="28"/>
      <w:bookmarkEnd w:id="29"/>
    </w:p>
    <w:tbl>
      <w:tblPr>
        <w:tblStyle w:val="2"/>
        <w:tblW w:w="0" w:type="auto"/>
        <w:jc w:val="center"/>
        <w:tblLayout w:type="fixed"/>
        <w:tblCellMar>
          <w:top w:w="0" w:type="dxa"/>
          <w:left w:w="10" w:type="dxa"/>
          <w:bottom w:w="0" w:type="dxa"/>
          <w:right w:w="10" w:type="dxa"/>
        </w:tblCellMar>
      </w:tblPr>
      <w:tblGrid>
        <w:gridCol w:w="586"/>
        <w:gridCol w:w="3821"/>
        <w:gridCol w:w="1022"/>
        <w:gridCol w:w="1733"/>
        <w:gridCol w:w="1560"/>
      </w:tblGrid>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2B2B2B"/>
                <w:spacing w:val="0"/>
                <w:w w:val="100"/>
                <w:position w:val="0"/>
                <w:sz w:val="22"/>
                <w:szCs w:val="22"/>
              </w:rPr>
              <w:t>序号</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2B2B2B"/>
                <w:spacing w:val="0"/>
                <w:w w:val="100"/>
                <w:position w:val="0"/>
                <w:sz w:val="22"/>
                <w:szCs w:val="22"/>
              </w:rPr>
              <w:t>病种名称</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支付比例</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52" w:lineRule="exact"/>
              <w:ind w:left="0" w:right="0" w:firstLine="0"/>
              <w:jc w:val="center"/>
              <w:rPr>
                <w:sz w:val="22"/>
                <w:szCs w:val="22"/>
              </w:rPr>
            </w:pPr>
            <w:r>
              <w:rPr>
                <w:color w:val="2B2B2B"/>
                <w:spacing w:val="0"/>
                <w:w w:val="100"/>
                <w:position w:val="0"/>
                <w:sz w:val="22"/>
                <w:szCs w:val="22"/>
              </w:rPr>
              <w:t>政策范围内年度 医疗费额度（元）</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7" w:lineRule="exact"/>
              <w:ind w:left="0" w:right="0" w:firstLine="0"/>
              <w:jc w:val="center"/>
              <w:rPr>
                <w:sz w:val="22"/>
                <w:szCs w:val="22"/>
              </w:rPr>
            </w:pPr>
            <w:r>
              <w:rPr>
                <w:color w:val="2B2B2B"/>
                <w:spacing w:val="0"/>
                <w:w w:val="100"/>
                <w:position w:val="0"/>
                <w:sz w:val="22"/>
                <w:szCs w:val="22"/>
              </w:rPr>
              <w:t>基金年度最高 支付限额（元）</w:t>
            </w:r>
          </w:p>
        </w:tc>
      </w:tr>
      <w:tr>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00"/>
              <w:jc w:val="left"/>
              <w:rPr>
                <w:sz w:val="22"/>
                <w:szCs w:val="22"/>
              </w:rPr>
            </w:pPr>
            <w:r>
              <w:rPr>
                <w:rFonts w:ascii="Times New Roman" w:hAnsi="Times New Roman" w:eastAsia="Times New Roman" w:cs="Times New Roman"/>
                <w:color w:val="2B2B2B"/>
                <w:spacing w:val="0"/>
                <w:w w:val="100"/>
                <w:position w:val="0"/>
                <w:sz w:val="22"/>
                <w:szCs w:val="22"/>
              </w:rPr>
              <w:t>1</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33" w:lineRule="exact"/>
              <w:ind w:left="0" w:right="0" w:firstLine="0"/>
              <w:jc w:val="left"/>
              <w:rPr>
                <w:sz w:val="42"/>
                <w:szCs w:val="42"/>
              </w:rPr>
            </w:pPr>
            <w:r>
              <w:rPr>
                <w:color w:val="2B2B2B"/>
                <w:spacing w:val="0"/>
                <w:w w:val="100"/>
                <w:position w:val="0"/>
                <w:sz w:val="22"/>
                <w:szCs w:val="22"/>
              </w:rPr>
              <w:t>糖尿病（饮食控制无效，合并四肢动 脉爲麦鳶病或视网膜</w:t>
            </w:r>
            <w:r>
              <w:rPr>
                <w:rFonts w:ascii="Times New Roman" w:hAnsi="Times New Roman" w:eastAsia="Times New Roman" w:cs="Times New Roman"/>
                <w:color w:val="2B2B2B"/>
                <w:spacing w:val="0"/>
                <w:w w:val="100"/>
                <w:position w:val="0"/>
                <w:sz w:val="42"/>
                <w:szCs w:val="42"/>
              </w:rPr>
              <w:t>4#</w:t>
            </w:r>
            <w:r>
              <w:rPr>
                <w:color w:val="2B2B2B"/>
                <w:spacing w:val="0"/>
                <w:w w:val="100"/>
                <w:position w:val="0"/>
                <w:sz w:val="42"/>
                <w:szCs w:val="42"/>
              </w:rPr>
              <w:t>）</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60%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640"/>
              <w:jc w:val="both"/>
              <w:rPr>
                <w:sz w:val="22"/>
                <w:szCs w:val="22"/>
              </w:rPr>
            </w:pPr>
            <w:r>
              <w:rPr>
                <w:rFonts w:ascii="Times New Roman" w:hAnsi="Times New Roman" w:eastAsia="Times New Roman" w:cs="Times New Roman"/>
                <w:color w:val="2B2B2B"/>
                <w:spacing w:val="0"/>
                <w:w w:val="100"/>
                <w:position w:val="0"/>
                <w:sz w:val="22"/>
                <w:szCs w:val="22"/>
              </w:rPr>
              <w:t>2400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540"/>
              <w:jc w:val="both"/>
              <w:rPr>
                <w:sz w:val="22"/>
                <w:szCs w:val="22"/>
              </w:rPr>
            </w:pPr>
            <w:r>
              <w:rPr>
                <w:rFonts w:ascii="Times New Roman" w:hAnsi="Times New Roman" w:eastAsia="Times New Roman" w:cs="Times New Roman"/>
                <w:color w:val="2B2B2B"/>
                <w:spacing w:val="0"/>
                <w:w w:val="100"/>
                <w:position w:val="0"/>
                <w:sz w:val="22"/>
                <w:szCs w:val="22"/>
              </w:rPr>
              <w:t>1440</w:t>
            </w:r>
          </w:p>
        </w:tc>
      </w:tr>
      <w:tr>
        <w:tblPrEx>
          <w:tblCellMar>
            <w:top w:w="0" w:type="dxa"/>
            <w:left w:w="10" w:type="dxa"/>
            <w:bottom w:w="0" w:type="dxa"/>
            <w:right w:w="10" w:type="dxa"/>
          </w:tblCellMar>
        </w:tblPrEx>
        <w:trPr>
          <w:trHeight w:val="571"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00"/>
              <w:jc w:val="left"/>
              <w:rPr>
                <w:sz w:val="22"/>
                <w:szCs w:val="22"/>
              </w:rPr>
            </w:pPr>
            <w:r>
              <w:rPr>
                <w:rFonts w:ascii="Times New Roman" w:hAnsi="Times New Roman" w:eastAsia="Times New Roman" w:cs="Times New Roman"/>
                <w:color w:val="2B2B2B"/>
                <w:spacing w:val="0"/>
                <w:w w:val="100"/>
                <w:position w:val="0"/>
                <w:sz w:val="22"/>
                <w:szCs w:val="22"/>
              </w:rPr>
              <w:t>2</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exact"/>
              <w:ind w:left="0" w:right="0" w:firstLine="0"/>
              <w:jc w:val="left"/>
              <w:rPr>
                <w:sz w:val="22"/>
                <w:szCs w:val="22"/>
              </w:rPr>
            </w:pPr>
            <w:r>
              <w:rPr>
                <w:color w:val="2B2B2B"/>
                <w:spacing w:val="0"/>
                <w:w w:val="100"/>
                <w:position w:val="0"/>
                <w:sz w:val="22"/>
                <w:szCs w:val="22"/>
              </w:rPr>
              <w:t>冠心病（包括日常用药、支架植入术 后抗髄治疗）</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60%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640"/>
              <w:jc w:val="both"/>
              <w:rPr>
                <w:sz w:val="22"/>
                <w:szCs w:val="22"/>
              </w:rPr>
            </w:pPr>
            <w:r>
              <w:rPr>
                <w:rFonts w:ascii="Times New Roman" w:hAnsi="Times New Roman" w:eastAsia="Times New Roman" w:cs="Times New Roman"/>
                <w:color w:val="2B2B2B"/>
                <w:spacing w:val="0"/>
                <w:w w:val="100"/>
                <w:position w:val="0"/>
                <w:sz w:val="22"/>
                <w:szCs w:val="22"/>
              </w:rPr>
              <w:t>3000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540"/>
              <w:jc w:val="both"/>
              <w:rPr>
                <w:sz w:val="22"/>
                <w:szCs w:val="22"/>
              </w:rPr>
            </w:pPr>
            <w:r>
              <w:rPr>
                <w:rFonts w:ascii="Times New Roman" w:hAnsi="Times New Roman" w:eastAsia="Times New Roman" w:cs="Times New Roman"/>
                <w:color w:val="2B2B2B"/>
                <w:spacing w:val="0"/>
                <w:w w:val="100"/>
                <w:position w:val="0"/>
                <w:sz w:val="22"/>
                <w:szCs w:val="22"/>
              </w:rPr>
              <w:t>1800</w:t>
            </w:r>
          </w:p>
        </w:tc>
      </w:tr>
      <w:tr>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00"/>
              <w:jc w:val="left"/>
              <w:rPr>
                <w:sz w:val="22"/>
                <w:szCs w:val="22"/>
              </w:rPr>
            </w:pPr>
            <w:r>
              <w:rPr>
                <w:rFonts w:ascii="Times New Roman" w:hAnsi="Times New Roman" w:eastAsia="Times New Roman" w:cs="Times New Roman"/>
                <w:color w:val="2B2B2B"/>
                <w:spacing w:val="0"/>
                <w:w w:val="100"/>
                <w:position w:val="0"/>
                <w:sz w:val="22"/>
                <w:szCs w:val="22"/>
              </w:rPr>
              <w:t>3</w:t>
            </w:r>
          </w:p>
        </w:tc>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7" w:lineRule="exact"/>
              <w:ind w:left="0" w:right="0" w:firstLine="0"/>
              <w:jc w:val="left"/>
              <w:rPr>
                <w:sz w:val="22"/>
                <w:szCs w:val="22"/>
              </w:rPr>
            </w:pPr>
            <w:r>
              <w:rPr>
                <w:color w:val="2B2B2B"/>
                <w:spacing w:val="0"/>
                <w:w w:val="100"/>
                <w:position w:val="0"/>
                <w:sz w:val="22"/>
                <w:szCs w:val="22"/>
              </w:rPr>
              <w:t>肺源性心脏病（慢性心衰，心功能</w:t>
            </w:r>
            <w:r>
              <w:rPr>
                <w:rFonts w:ascii="Times New Roman" w:hAnsi="Times New Roman" w:eastAsia="Times New Roman" w:cs="Times New Roman"/>
                <w:color w:val="2B2B2B"/>
                <w:spacing w:val="0"/>
                <w:w w:val="100"/>
                <w:position w:val="0"/>
                <w:sz w:val="42"/>
                <w:szCs w:val="42"/>
                <w:lang w:val="en-US" w:eastAsia="en-US" w:bidi="en-US"/>
              </w:rPr>
              <w:t xml:space="preserve">n </w:t>
            </w:r>
            <w:r>
              <w:rPr>
                <w:color w:val="2B2B2B"/>
                <w:spacing w:val="0"/>
                <w:w w:val="100"/>
                <w:position w:val="0"/>
                <w:sz w:val="22"/>
                <w:szCs w:val="22"/>
              </w:rPr>
              <w:t>级及以上）</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60%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640"/>
              <w:jc w:val="both"/>
              <w:rPr>
                <w:sz w:val="22"/>
                <w:szCs w:val="22"/>
              </w:rPr>
            </w:pPr>
            <w:r>
              <w:rPr>
                <w:rFonts w:ascii="Times New Roman" w:hAnsi="Times New Roman" w:eastAsia="Times New Roman" w:cs="Times New Roman"/>
                <w:color w:val="2B2B2B"/>
                <w:spacing w:val="0"/>
                <w:w w:val="100"/>
                <w:position w:val="0"/>
                <w:sz w:val="22"/>
                <w:szCs w:val="22"/>
              </w:rPr>
              <w:t>1800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540"/>
              <w:jc w:val="both"/>
              <w:rPr>
                <w:sz w:val="22"/>
                <w:szCs w:val="22"/>
              </w:rPr>
            </w:pPr>
            <w:r>
              <w:rPr>
                <w:rFonts w:ascii="Times New Roman" w:hAnsi="Times New Roman" w:eastAsia="Times New Roman" w:cs="Times New Roman"/>
                <w:color w:val="2B2B2B"/>
                <w:spacing w:val="0"/>
                <w:w w:val="100"/>
                <w:position w:val="0"/>
                <w:sz w:val="22"/>
                <w:szCs w:val="22"/>
              </w:rPr>
              <w:t>1080</w:t>
            </w:r>
          </w:p>
        </w:tc>
      </w:tr>
      <w:tr>
        <w:tblPrEx>
          <w:tblCellMar>
            <w:top w:w="0" w:type="dxa"/>
            <w:left w:w="10" w:type="dxa"/>
            <w:bottom w:w="0" w:type="dxa"/>
            <w:right w:w="10" w:type="dxa"/>
          </w:tblCellMar>
        </w:tblPrEx>
        <w:trPr>
          <w:trHeight w:val="485"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00"/>
              <w:jc w:val="left"/>
              <w:rPr>
                <w:sz w:val="22"/>
                <w:szCs w:val="22"/>
              </w:rPr>
            </w:pPr>
            <w:r>
              <w:rPr>
                <w:rFonts w:ascii="Times New Roman" w:hAnsi="Times New Roman" w:eastAsia="Times New Roman" w:cs="Times New Roman"/>
                <w:color w:val="2B2B2B"/>
                <w:spacing w:val="0"/>
                <w:w w:val="100"/>
                <w:position w:val="0"/>
                <w:sz w:val="22"/>
                <w:szCs w:val="22"/>
              </w:rPr>
              <w:t>4</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风湿性心脏病（心功能</w:t>
            </w:r>
            <w:r>
              <w:rPr>
                <w:rFonts w:ascii="Times New Roman" w:hAnsi="Times New Roman" w:eastAsia="Times New Roman" w:cs="Times New Roman"/>
                <w:color w:val="2B2B2B"/>
                <w:spacing w:val="0"/>
                <w:w w:val="100"/>
                <w:position w:val="0"/>
                <w:sz w:val="42"/>
                <w:szCs w:val="42"/>
                <w:lang w:val="en-US" w:eastAsia="en-US" w:bidi="en-US"/>
              </w:rPr>
              <w:t>n</w:t>
            </w:r>
            <w:r>
              <w:rPr>
                <w:color w:val="2B2B2B"/>
                <w:spacing w:val="0"/>
                <w:w w:val="100"/>
                <w:position w:val="0"/>
                <w:sz w:val="22"/>
                <w:szCs w:val="22"/>
              </w:rPr>
              <w:t>级及以上）</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60%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640"/>
              <w:jc w:val="both"/>
              <w:rPr>
                <w:sz w:val="22"/>
                <w:szCs w:val="22"/>
              </w:rPr>
            </w:pPr>
            <w:r>
              <w:rPr>
                <w:rFonts w:ascii="Times New Roman" w:hAnsi="Times New Roman" w:eastAsia="Times New Roman" w:cs="Times New Roman"/>
                <w:color w:val="2B2B2B"/>
                <w:spacing w:val="0"/>
                <w:w w:val="100"/>
                <w:position w:val="0"/>
                <w:sz w:val="22"/>
                <w:szCs w:val="22"/>
              </w:rPr>
              <w:t>1800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540"/>
              <w:jc w:val="both"/>
              <w:rPr>
                <w:sz w:val="22"/>
                <w:szCs w:val="22"/>
              </w:rPr>
            </w:pPr>
            <w:r>
              <w:rPr>
                <w:rFonts w:ascii="Times New Roman" w:hAnsi="Times New Roman" w:eastAsia="Times New Roman" w:cs="Times New Roman"/>
                <w:color w:val="2B2B2B"/>
                <w:spacing w:val="0"/>
                <w:w w:val="100"/>
                <w:position w:val="0"/>
                <w:sz w:val="22"/>
                <w:szCs w:val="22"/>
              </w:rPr>
              <w:t>1080</w:t>
            </w:r>
          </w:p>
        </w:tc>
      </w:tr>
      <w:tr>
        <w:tblPrEx>
          <w:tblCellMar>
            <w:top w:w="0" w:type="dxa"/>
            <w:left w:w="10" w:type="dxa"/>
            <w:bottom w:w="0" w:type="dxa"/>
            <w:right w:w="10" w:type="dxa"/>
          </w:tblCellMar>
        </w:tblPrEx>
        <w:trPr>
          <w:trHeight w:val="485"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00"/>
              <w:jc w:val="left"/>
              <w:rPr>
                <w:sz w:val="22"/>
                <w:szCs w:val="22"/>
              </w:rPr>
            </w:pPr>
            <w:r>
              <w:rPr>
                <w:rFonts w:ascii="Times New Roman" w:hAnsi="Times New Roman" w:eastAsia="Times New Roman" w:cs="Times New Roman"/>
                <w:color w:val="2B2B2B"/>
                <w:spacing w:val="0"/>
                <w:w w:val="100"/>
                <w:position w:val="0"/>
                <w:sz w:val="22"/>
                <w:szCs w:val="22"/>
              </w:rPr>
              <w:t>5</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慢性肾盂肾炎</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60%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640"/>
              <w:jc w:val="both"/>
              <w:rPr>
                <w:sz w:val="22"/>
                <w:szCs w:val="22"/>
              </w:rPr>
            </w:pPr>
            <w:r>
              <w:rPr>
                <w:rFonts w:ascii="Times New Roman" w:hAnsi="Times New Roman" w:eastAsia="Times New Roman" w:cs="Times New Roman"/>
                <w:color w:val="2B2B2B"/>
                <w:spacing w:val="0"/>
                <w:w w:val="100"/>
                <w:position w:val="0"/>
                <w:sz w:val="22"/>
                <w:szCs w:val="22"/>
              </w:rPr>
              <w:t>2200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540"/>
              <w:jc w:val="both"/>
              <w:rPr>
                <w:sz w:val="22"/>
                <w:szCs w:val="22"/>
              </w:rPr>
            </w:pPr>
            <w:r>
              <w:rPr>
                <w:rFonts w:ascii="Times New Roman" w:hAnsi="Times New Roman" w:eastAsia="Times New Roman" w:cs="Times New Roman"/>
                <w:color w:val="2B2B2B"/>
                <w:spacing w:val="0"/>
                <w:w w:val="100"/>
                <w:position w:val="0"/>
                <w:sz w:val="22"/>
                <w:szCs w:val="22"/>
              </w:rPr>
              <w:t>1320</w:t>
            </w:r>
          </w:p>
        </w:tc>
      </w:tr>
      <w:tr>
        <w:tblPrEx>
          <w:tblCellMar>
            <w:top w:w="0" w:type="dxa"/>
            <w:left w:w="10" w:type="dxa"/>
            <w:bottom w:w="0" w:type="dxa"/>
            <w:right w:w="10" w:type="dxa"/>
          </w:tblCellMar>
        </w:tblPrEx>
        <w:trPr>
          <w:trHeight w:val="490"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00"/>
              <w:jc w:val="left"/>
              <w:rPr>
                <w:sz w:val="22"/>
                <w:szCs w:val="22"/>
              </w:rPr>
            </w:pPr>
            <w:r>
              <w:rPr>
                <w:rFonts w:ascii="Times New Roman" w:hAnsi="Times New Roman" w:eastAsia="Times New Roman" w:cs="Times New Roman"/>
                <w:color w:val="2B2B2B"/>
                <w:spacing w:val="0"/>
                <w:w w:val="100"/>
                <w:position w:val="0"/>
                <w:sz w:val="22"/>
                <w:szCs w:val="22"/>
              </w:rPr>
              <w:t>6</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慢性阻塞性肺病</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60%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640"/>
              <w:jc w:val="both"/>
              <w:rPr>
                <w:sz w:val="22"/>
                <w:szCs w:val="22"/>
              </w:rPr>
            </w:pPr>
            <w:r>
              <w:rPr>
                <w:rFonts w:ascii="Times New Roman" w:hAnsi="Times New Roman" w:eastAsia="Times New Roman" w:cs="Times New Roman"/>
                <w:color w:val="2B2B2B"/>
                <w:spacing w:val="0"/>
                <w:w w:val="100"/>
                <w:position w:val="0"/>
                <w:sz w:val="22"/>
                <w:szCs w:val="22"/>
              </w:rPr>
              <w:t>1900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540"/>
              <w:jc w:val="both"/>
              <w:rPr>
                <w:sz w:val="22"/>
                <w:szCs w:val="22"/>
              </w:rPr>
            </w:pPr>
            <w:r>
              <w:rPr>
                <w:rFonts w:ascii="Times New Roman" w:hAnsi="Times New Roman" w:eastAsia="Times New Roman" w:cs="Times New Roman"/>
                <w:color w:val="2B2B2B"/>
                <w:spacing w:val="0"/>
                <w:w w:val="100"/>
                <w:position w:val="0"/>
                <w:sz w:val="22"/>
                <w:szCs w:val="22"/>
              </w:rPr>
              <w:t>1140</w:t>
            </w:r>
          </w:p>
        </w:tc>
      </w:tr>
      <w:tr>
        <w:tblPrEx>
          <w:tblCellMar>
            <w:top w:w="0" w:type="dxa"/>
            <w:left w:w="10" w:type="dxa"/>
            <w:bottom w:w="0" w:type="dxa"/>
            <w:right w:w="10" w:type="dxa"/>
          </w:tblCellMar>
        </w:tblPrEx>
        <w:trPr>
          <w:trHeight w:val="485"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00"/>
              <w:jc w:val="left"/>
              <w:rPr>
                <w:sz w:val="22"/>
                <w:szCs w:val="22"/>
              </w:rPr>
            </w:pPr>
            <w:r>
              <w:rPr>
                <w:rFonts w:ascii="Times New Roman" w:hAnsi="Times New Roman" w:eastAsia="Times New Roman" w:cs="Times New Roman"/>
                <w:color w:val="2B2B2B"/>
                <w:spacing w:val="0"/>
                <w:w w:val="100"/>
                <w:position w:val="0"/>
                <w:sz w:val="22"/>
                <w:szCs w:val="22"/>
              </w:rPr>
              <w:t>7</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慢性胆囊炎</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60%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640"/>
              <w:jc w:val="both"/>
              <w:rPr>
                <w:sz w:val="22"/>
                <w:szCs w:val="22"/>
              </w:rPr>
            </w:pPr>
            <w:r>
              <w:rPr>
                <w:rFonts w:ascii="Times New Roman" w:hAnsi="Times New Roman" w:eastAsia="Times New Roman" w:cs="Times New Roman"/>
                <w:color w:val="2B2B2B"/>
                <w:spacing w:val="0"/>
                <w:w w:val="100"/>
                <w:position w:val="0"/>
                <w:sz w:val="22"/>
                <w:szCs w:val="22"/>
              </w:rPr>
              <w:t>2000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540"/>
              <w:jc w:val="both"/>
              <w:rPr>
                <w:sz w:val="22"/>
                <w:szCs w:val="22"/>
              </w:rPr>
            </w:pPr>
            <w:r>
              <w:rPr>
                <w:rFonts w:ascii="Times New Roman" w:hAnsi="Times New Roman" w:eastAsia="Times New Roman" w:cs="Times New Roman"/>
                <w:color w:val="2B2B2B"/>
                <w:spacing w:val="0"/>
                <w:w w:val="100"/>
                <w:position w:val="0"/>
                <w:sz w:val="22"/>
                <w:szCs w:val="22"/>
              </w:rPr>
              <w:t>1200</w:t>
            </w:r>
          </w:p>
        </w:tc>
      </w:tr>
      <w:tr>
        <w:tblPrEx>
          <w:tblCellMar>
            <w:top w:w="0" w:type="dxa"/>
            <w:left w:w="10" w:type="dxa"/>
            <w:bottom w:w="0" w:type="dxa"/>
            <w:right w:w="10" w:type="dxa"/>
          </w:tblCellMar>
        </w:tblPrEx>
        <w:trPr>
          <w:trHeight w:val="485"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00"/>
              <w:jc w:val="left"/>
              <w:rPr>
                <w:sz w:val="22"/>
                <w:szCs w:val="22"/>
              </w:rPr>
            </w:pPr>
            <w:r>
              <w:rPr>
                <w:rFonts w:ascii="Times New Roman" w:hAnsi="Times New Roman" w:eastAsia="Times New Roman" w:cs="Times New Roman"/>
                <w:color w:val="2B2B2B"/>
                <w:spacing w:val="0"/>
                <w:w w:val="100"/>
                <w:position w:val="0"/>
                <w:sz w:val="22"/>
                <w:szCs w:val="22"/>
              </w:rPr>
              <w:t>8</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脑血管意夕卜偏瘫</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60%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640"/>
              <w:jc w:val="both"/>
              <w:rPr>
                <w:sz w:val="22"/>
                <w:szCs w:val="22"/>
              </w:rPr>
            </w:pPr>
            <w:r>
              <w:rPr>
                <w:rFonts w:ascii="Times New Roman" w:hAnsi="Times New Roman" w:eastAsia="Times New Roman" w:cs="Times New Roman"/>
                <w:color w:val="2B2B2B"/>
                <w:spacing w:val="0"/>
                <w:w w:val="100"/>
                <w:position w:val="0"/>
                <w:sz w:val="22"/>
                <w:szCs w:val="22"/>
              </w:rPr>
              <w:t>2000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540"/>
              <w:jc w:val="both"/>
              <w:rPr>
                <w:sz w:val="22"/>
                <w:szCs w:val="22"/>
              </w:rPr>
            </w:pPr>
            <w:r>
              <w:rPr>
                <w:rFonts w:ascii="Times New Roman" w:hAnsi="Times New Roman" w:eastAsia="Times New Roman" w:cs="Times New Roman"/>
                <w:color w:val="2B2B2B"/>
                <w:spacing w:val="0"/>
                <w:w w:val="100"/>
                <w:position w:val="0"/>
                <w:sz w:val="22"/>
                <w:szCs w:val="22"/>
              </w:rPr>
              <w:t>1200</w:t>
            </w:r>
          </w:p>
        </w:tc>
      </w:tr>
      <w:tr>
        <w:tblPrEx>
          <w:tblCellMar>
            <w:top w:w="0" w:type="dxa"/>
            <w:left w:w="10" w:type="dxa"/>
            <w:bottom w:w="0" w:type="dxa"/>
            <w:right w:w="10" w:type="dxa"/>
          </w:tblCellMar>
        </w:tblPrEx>
        <w:trPr>
          <w:trHeight w:val="490"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00"/>
              <w:jc w:val="left"/>
              <w:rPr>
                <w:sz w:val="22"/>
                <w:szCs w:val="22"/>
              </w:rPr>
            </w:pPr>
            <w:r>
              <w:rPr>
                <w:rFonts w:ascii="Times New Roman" w:hAnsi="Times New Roman" w:eastAsia="Times New Roman" w:cs="Times New Roman"/>
                <w:color w:val="2B2B2B"/>
                <w:spacing w:val="0"/>
                <w:w w:val="100"/>
                <w:position w:val="0"/>
                <w:sz w:val="22"/>
                <w:szCs w:val="22"/>
              </w:rPr>
              <w:t>9</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支气管哮喘</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60%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640"/>
              <w:jc w:val="both"/>
              <w:rPr>
                <w:sz w:val="22"/>
                <w:szCs w:val="22"/>
              </w:rPr>
            </w:pPr>
            <w:r>
              <w:rPr>
                <w:rFonts w:ascii="Times New Roman" w:hAnsi="Times New Roman" w:eastAsia="Times New Roman" w:cs="Times New Roman"/>
                <w:color w:val="2B2B2B"/>
                <w:spacing w:val="0"/>
                <w:w w:val="100"/>
                <w:position w:val="0"/>
                <w:sz w:val="22"/>
                <w:szCs w:val="22"/>
              </w:rPr>
              <w:t>1800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540"/>
              <w:jc w:val="both"/>
              <w:rPr>
                <w:sz w:val="22"/>
                <w:szCs w:val="22"/>
              </w:rPr>
            </w:pPr>
            <w:r>
              <w:rPr>
                <w:rFonts w:ascii="Times New Roman" w:hAnsi="Times New Roman" w:eastAsia="Times New Roman" w:cs="Times New Roman"/>
                <w:color w:val="2B2B2B"/>
                <w:spacing w:val="0"/>
                <w:w w:val="100"/>
                <w:position w:val="0"/>
                <w:sz w:val="22"/>
                <w:szCs w:val="22"/>
              </w:rPr>
              <w:t>1080</w:t>
            </w:r>
          </w:p>
        </w:tc>
      </w:tr>
      <w:tr>
        <w:tblPrEx>
          <w:tblCellMar>
            <w:top w:w="0" w:type="dxa"/>
            <w:left w:w="10" w:type="dxa"/>
            <w:bottom w:w="0" w:type="dxa"/>
            <w:right w:w="10" w:type="dxa"/>
          </w:tblCellMar>
        </w:tblPrEx>
        <w:trPr>
          <w:trHeight w:val="485"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00"/>
              <w:jc w:val="left"/>
              <w:rPr>
                <w:sz w:val="22"/>
                <w:szCs w:val="22"/>
              </w:rPr>
            </w:pPr>
            <w:r>
              <w:rPr>
                <w:rFonts w:ascii="Times New Roman" w:hAnsi="Times New Roman" w:eastAsia="Times New Roman" w:cs="Times New Roman"/>
                <w:color w:val="2B2B2B"/>
                <w:spacing w:val="0"/>
                <w:w w:val="100"/>
                <w:position w:val="0"/>
                <w:sz w:val="22"/>
                <w:szCs w:val="22"/>
              </w:rPr>
              <w:t>10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甲状腺功能亢进症</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60%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640"/>
              <w:jc w:val="both"/>
              <w:rPr>
                <w:sz w:val="22"/>
                <w:szCs w:val="22"/>
              </w:rPr>
            </w:pPr>
            <w:r>
              <w:rPr>
                <w:rFonts w:ascii="Times New Roman" w:hAnsi="Times New Roman" w:eastAsia="Times New Roman" w:cs="Times New Roman"/>
                <w:color w:val="2B2B2B"/>
                <w:spacing w:val="0"/>
                <w:w w:val="100"/>
                <w:position w:val="0"/>
                <w:sz w:val="22"/>
                <w:szCs w:val="22"/>
              </w:rPr>
              <w:t>1900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540"/>
              <w:jc w:val="both"/>
              <w:rPr>
                <w:sz w:val="22"/>
                <w:szCs w:val="22"/>
              </w:rPr>
            </w:pPr>
            <w:r>
              <w:rPr>
                <w:rFonts w:ascii="Times New Roman" w:hAnsi="Times New Roman" w:eastAsia="Times New Roman" w:cs="Times New Roman"/>
                <w:color w:val="2B2B2B"/>
                <w:spacing w:val="0"/>
                <w:w w:val="100"/>
                <w:position w:val="0"/>
                <w:sz w:val="22"/>
                <w:szCs w:val="22"/>
              </w:rPr>
              <w:t>1140</w:t>
            </w:r>
          </w:p>
        </w:tc>
      </w:tr>
      <w:tr>
        <w:tblPrEx>
          <w:tblCellMar>
            <w:top w:w="0" w:type="dxa"/>
            <w:left w:w="10" w:type="dxa"/>
            <w:bottom w:w="0" w:type="dxa"/>
            <w:right w:w="10" w:type="dxa"/>
          </w:tblCellMar>
        </w:tblPrEx>
        <w:trPr>
          <w:trHeight w:val="485"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00"/>
              <w:jc w:val="left"/>
              <w:rPr>
                <w:sz w:val="22"/>
                <w:szCs w:val="22"/>
              </w:rPr>
            </w:pPr>
            <w:r>
              <w:rPr>
                <w:rFonts w:ascii="Times New Roman" w:hAnsi="Times New Roman" w:eastAsia="Times New Roman" w:cs="Times New Roman"/>
                <w:color w:val="2B2B2B"/>
                <w:spacing w:val="0"/>
                <w:w w:val="100"/>
                <w:position w:val="0"/>
                <w:sz w:val="22"/>
                <w:szCs w:val="22"/>
              </w:rPr>
              <w:t>11</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慢性胃炎</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60%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640"/>
              <w:jc w:val="both"/>
              <w:rPr>
                <w:sz w:val="22"/>
                <w:szCs w:val="22"/>
              </w:rPr>
            </w:pPr>
            <w:r>
              <w:rPr>
                <w:rFonts w:ascii="Times New Roman" w:hAnsi="Times New Roman" w:eastAsia="Times New Roman" w:cs="Times New Roman"/>
                <w:color w:val="2B2B2B"/>
                <w:spacing w:val="0"/>
                <w:w w:val="100"/>
                <w:position w:val="0"/>
                <w:sz w:val="22"/>
                <w:szCs w:val="22"/>
              </w:rPr>
              <w:t>1700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540"/>
              <w:jc w:val="both"/>
              <w:rPr>
                <w:sz w:val="22"/>
                <w:szCs w:val="22"/>
              </w:rPr>
            </w:pPr>
            <w:r>
              <w:rPr>
                <w:rFonts w:ascii="Times New Roman" w:hAnsi="Times New Roman" w:eastAsia="Times New Roman" w:cs="Times New Roman"/>
                <w:color w:val="2B2B2B"/>
                <w:spacing w:val="0"/>
                <w:w w:val="100"/>
                <w:position w:val="0"/>
                <w:sz w:val="22"/>
                <w:szCs w:val="22"/>
              </w:rPr>
              <w:t>1020</w:t>
            </w:r>
          </w:p>
        </w:tc>
      </w:tr>
      <w:tr>
        <w:tblPrEx>
          <w:tblCellMar>
            <w:top w:w="0" w:type="dxa"/>
            <w:left w:w="10" w:type="dxa"/>
            <w:bottom w:w="0" w:type="dxa"/>
            <w:right w:w="10" w:type="dxa"/>
          </w:tblCellMar>
        </w:tblPrEx>
        <w:trPr>
          <w:trHeight w:val="490"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00"/>
              <w:jc w:val="left"/>
              <w:rPr>
                <w:sz w:val="22"/>
                <w:szCs w:val="22"/>
              </w:rPr>
            </w:pPr>
            <w:r>
              <w:rPr>
                <w:rFonts w:ascii="Times New Roman" w:hAnsi="Times New Roman" w:eastAsia="Times New Roman" w:cs="Times New Roman"/>
                <w:color w:val="2B2B2B"/>
                <w:spacing w:val="0"/>
                <w:w w:val="100"/>
                <w:position w:val="0"/>
                <w:sz w:val="22"/>
                <w:szCs w:val="22"/>
              </w:rPr>
              <w:t>12</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慢性支气管炎</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60%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640"/>
              <w:jc w:val="both"/>
              <w:rPr>
                <w:sz w:val="22"/>
                <w:szCs w:val="22"/>
              </w:rPr>
            </w:pPr>
            <w:r>
              <w:rPr>
                <w:rFonts w:ascii="Times New Roman" w:hAnsi="Times New Roman" w:eastAsia="Times New Roman" w:cs="Times New Roman"/>
                <w:color w:val="2B2B2B"/>
                <w:spacing w:val="0"/>
                <w:w w:val="100"/>
                <w:position w:val="0"/>
                <w:sz w:val="22"/>
                <w:szCs w:val="22"/>
              </w:rPr>
              <w:t>1600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540"/>
              <w:jc w:val="left"/>
              <w:rPr>
                <w:sz w:val="22"/>
                <w:szCs w:val="22"/>
              </w:rPr>
            </w:pPr>
            <w:r>
              <w:rPr>
                <w:rFonts w:ascii="Times New Roman" w:hAnsi="Times New Roman" w:eastAsia="Times New Roman" w:cs="Times New Roman"/>
                <w:color w:val="2B2B2B"/>
                <w:spacing w:val="0"/>
                <w:w w:val="100"/>
                <w:position w:val="0"/>
                <w:sz w:val="22"/>
                <w:szCs w:val="22"/>
              </w:rPr>
              <w:t>960</w:t>
            </w:r>
          </w:p>
        </w:tc>
      </w:tr>
      <w:tr>
        <w:tblPrEx>
          <w:tblCellMar>
            <w:top w:w="0" w:type="dxa"/>
            <w:left w:w="10" w:type="dxa"/>
            <w:bottom w:w="0" w:type="dxa"/>
            <w:right w:w="10" w:type="dxa"/>
          </w:tblCellMar>
        </w:tblPrEx>
        <w:trPr>
          <w:trHeight w:val="485"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00"/>
              <w:jc w:val="left"/>
              <w:rPr>
                <w:sz w:val="22"/>
                <w:szCs w:val="22"/>
              </w:rPr>
            </w:pPr>
            <w:r>
              <w:rPr>
                <w:rFonts w:ascii="Times New Roman" w:hAnsi="Times New Roman" w:eastAsia="Times New Roman" w:cs="Times New Roman"/>
                <w:color w:val="000000"/>
                <w:spacing w:val="0"/>
                <w:w w:val="100"/>
                <w:position w:val="0"/>
                <w:sz w:val="22"/>
                <w:szCs w:val="22"/>
              </w:rPr>
              <w:t>13</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恶性肿瘤镇痛治疗</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60%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640"/>
              <w:jc w:val="both"/>
              <w:rPr>
                <w:sz w:val="22"/>
                <w:szCs w:val="22"/>
              </w:rPr>
            </w:pPr>
            <w:r>
              <w:rPr>
                <w:rFonts w:ascii="Times New Roman" w:hAnsi="Times New Roman" w:eastAsia="Times New Roman" w:cs="Times New Roman"/>
                <w:color w:val="2B2B2B"/>
                <w:spacing w:val="0"/>
                <w:w w:val="100"/>
                <w:position w:val="0"/>
                <w:sz w:val="22"/>
                <w:szCs w:val="22"/>
              </w:rPr>
              <w:t>2400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540"/>
              <w:jc w:val="both"/>
              <w:rPr>
                <w:sz w:val="22"/>
                <w:szCs w:val="22"/>
              </w:rPr>
            </w:pPr>
            <w:r>
              <w:rPr>
                <w:rFonts w:ascii="Times New Roman" w:hAnsi="Times New Roman" w:eastAsia="Times New Roman" w:cs="Times New Roman"/>
                <w:color w:val="2B2B2B"/>
                <w:spacing w:val="0"/>
                <w:w w:val="100"/>
                <w:position w:val="0"/>
                <w:sz w:val="22"/>
                <w:szCs w:val="22"/>
              </w:rPr>
              <w:t>1440</w:t>
            </w:r>
          </w:p>
        </w:tc>
      </w:tr>
      <w:tr>
        <w:tblPrEx>
          <w:tblCellMar>
            <w:top w:w="0" w:type="dxa"/>
            <w:left w:w="10" w:type="dxa"/>
            <w:bottom w:w="0" w:type="dxa"/>
            <w:right w:w="10" w:type="dxa"/>
          </w:tblCellMar>
        </w:tblPrEx>
        <w:trPr>
          <w:trHeight w:val="485"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00"/>
              <w:jc w:val="left"/>
              <w:rPr>
                <w:sz w:val="22"/>
                <w:szCs w:val="22"/>
              </w:rPr>
            </w:pPr>
            <w:r>
              <w:rPr>
                <w:rFonts w:ascii="Times New Roman" w:hAnsi="Times New Roman" w:eastAsia="Times New Roman" w:cs="Times New Roman"/>
                <w:color w:val="2B2B2B"/>
                <w:spacing w:val="0"/>
                <w:w w:val="100"/>
                <w:position w:val="0"/>
                <w:sz w:val="22"/>
                <w:szCs w:val="22"/>
              </w:rPr>
              <w:t>14</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心力衰竭（心功能</w:t>
            </w:r>
            <w:r>
              <w:rPr>
                <w:rFonts w:ascii="Times New Roman" w:hAnsi="Times New Roman" w:eastAsia="Times New Roman" w:cs="Times New Roman"/>
                <w:color w:val="2B2B2B"/>
                <w:spacing w:val="0"/>
                <w:w w:val="100"/>
                <w:position w:val="0"/>
                <w:sz w:val="42"/>
                <w:szCs w:val="42"/>
                <w:lang w:val="en-US" w:eastAsia="en-US" w:bidi="en-US"/>
              </w:rPr>
              <w:t>H</w:t>
            </w:r>
            <w:r>
              <w:rPr>
                <w:color w:val="2B2B2B"/>
                <w:spacing w:val="0"/>
                <w:w w:val="100"/>
                <w:position w:val="0"/>
                <w:sz w:val="22"/>
                <w:szCs w:val="22"/>
              </w:rPr>
              <w:t>级及以上）</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60%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640"/>
              <w:jc w:val="both"/>
              <w:rPr>
                <w:sz w:val="22"/>
                <w:szCs w:val="22"/>
              </w:rPr>
            </w:pPr>
            <w:r>
              <w:rPr>
                <w:rFonts w:ascii="Times New Roman" w:hAnsi="Times New Roman" w:eastAsia="Times New Roman" w:cs="Times New Roman"/>
                <w:color w:val="2B2B2B"/>
                <w:spacing w:val="0"/>
                <w:w w:val="100"/>
                <w:position w:val="0"/>
                <w:sz w:val="22"/>
                <w:szCs w:val="22"/>
              </w:rPr>
              <w:t>2100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540"/>
              <w:jc w:val="both"/>
              <w:rPr>
                <w:sz w:val="22"/>
                <w:szCs w:val="22"/>
              </w:rPr>
            </w:pPr>
            <w:r>
              <w:rPr>
                <w:rFonts w:ascii="Times New Roman" w:hAnsi="Times New Roman" w:eastAsia="Times New Roman" w:cs="Times New Roman"/>
                <w:color w:val="2B2B2B"/>
                <w:spacing w:val="0"/>
                <w:w w:val="100"/>
                <w:position w:val="0"/>
                <w:sz w:val="22"/>
                <w:szCs w:val="22"/>
              </w:rPr>
              <w:t>1260</w:t>
            </w:r>
          </w:p>
        </w:tc>
      </w:tr>
      <w:tr>
        <w:tblPrEx>
          <w:tblCellMar>
            <w:top w:w="0" w:type="dxa"/>
            <w:left w:w="10" w:type="dxa"/>
            <w:bottom w:w="0" w:type="dxa"/>
            <w:right w:w="10" w:type="dxa"/>
          </w:tblCellMar>
        </w:tblPrEx>
        <w:trPr>
          <w:trHeight w:val="485"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00"/>
              <w:jc w:val="left"/>
              <w:rPr>
                <w:sz w:val="22"/>
                <w:szCs w:val="22"/>
              </w:rPr>
            </w:pPr>
            <w:r>
              <w:rPr>
                <w:rFonts w:ascii="Times New Roman" w:hAnsi="Times New Roman" w:eastAsia="Times New Roman" w:cs="Times New Roman"/>
                <w:color w:val="2B2B2B"/>
                <w:spacing w:val="0"/>
                <w:w w:val="100"/>
                <w:position w:val="0"/>
                <w:sz w:val="22"/>
                <w:szCs w:val="22"/>
              </w:rPr>
              <w:t>15</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慢性肾小球肾炎</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60%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640"/>
              <w:jc w:val="both"/>
              <w:rPr>
                <w:sz w:val="22"/>
                <w:szCs w:val="22"/>
              </w:rPr>
            </w:pPr>
            <w:r>
              <w:rPr>
                <w:rFonts w:ascii="Times New Roman" w:hAnsi="Times New Roman" w:eastAsia="Times New Roman" w:cs="Times New Roman"/>
                <w:color w:val="2B2B2B"/>
                <w:spacing w:val="0"/>
                <w:w w:val="100"/>
                <w:position w:val="0"/>
                <w:sz w:val="22"/>
                <w:szCs w:val="22"/>
              </w:rPr>
              <w:t>2500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540"/>
              <w:jc w:val="both"/>
              <w:rPr>
                <w:sz w:val="22"/>
                <w:szCs w:val="22"/>
              </w:rPr>
            </w:pPr>
            <w:r>
              <w:rPr>
                <w:rFonts w:ascii="Times New Roman" w:hAnsi="Times New Roman" w:eastAsia="Times New Roman" w:cs="Times New Roman"/>
                <w:color w:val="2B2B2B"/>
                <w:spacing w:val="0"/>
                <w:w w:val="100"/>
                <w:position w:val="0"/>
                <w:sz w:val="22"/>
                <w:szCs w:val="22"/>
              </w:rPr>
              <w:t>1500</w:t>
            </w:r>
          </w:p>
        </w:tc>
      </w:tr>
      <w:tr>
        <w:tblPrEx>
          <w:tblCellMar>
            <w:top w:w="0" w:type="dxa"/>
            <w:left w:w="10" w:type="dxa"/>
            <w:bottom w:w="0" w:type="dxa"/>
            <w:right w:w="10" w:type="dxa"/>
          </w:tblCellMar>
        </w:tblPrEx>
        <w:trPr>
          <w:trHeight w:val="494"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00"/>
              <w:jc w:val="left"/>
              <w:rPr>
                <w:sz w:val="22"/>
                <w:szCs w:val="22"/>
              </w:rPr>
            </w:pPr>
            <w:r>
              <w:rPr>
                <w:rFonts w:ascii="Times New Roman" w:hAnsi="Times New Roman" w:eastAsia="Times New Roman" w:cs="Times New Roman"/>
                <w:color w:val="2B2B2B"/>
                <w:spacing w:val="0"/>
                <w:w w:val="100"/>
                <w:position w:val="0"/>
                <w:sz w:val="22"/>
                <w:szCs w:val="22"/>
              </w:rPr>
              <w:t>16</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心律失常（限房颤）</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60%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640"/>
              <w:jc w:val="both"/>
              <w:rPr>
                <w:sz w:val="22"/>
                <w:szCs w:val="22"/>
              </w:rPr>
            </w:pPr>
            <w:r>
              <w:rPr>
                <w:rFonts w:ascii="Times New Roman" w:hAnsi="Times New Roman" w:eastAsia="Times New Roman" w:cs="Times New Roman"/>
                <w:color w:val="2B2B2B"/>
                <w:spacing w:val="0"/>
                <w:w w:val="100"/>
                <w:position w:val="0"/>
                <w:sz w:val="22"/>
                <w:szCs w:val="22"/>
              </w:rPr>
              <w:t>1800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540"/>
              <w:jc w:val="both"/>
              <w:rPr>
                <w:sz w:val="22"/>
                <w:szCs w:val="22"/>
              </w:rPr>
            </w:pPr>
            <w:r>
              <w:rPr>
                <w:rFonts w:ascii="Times New Roman" w:hAnsi="Times New Roman" w:eastAsia="Times New Roman" w:cs="Times New Roman"/>
                <w:color w:val="2B2B2B"/>
                <w:spacing w:val="0"/>
                <w:w w:val="100"/>
                <w:position w:val="0"/>
                <w:sz w:val="22"/>
                <w:szCs w:val="22"/>
              </w:rPr>
              <w:t>1080</w:t>
            </w:r>
          </w:p>
        </w:tc>
      </w:tr>
      <w:tr>
        <w:tblPrEx>
          <w:tblCellMar>
            <w:top w:w="0" w:type="dxa"/>
            <w:left w:w="10" w:type="dxa"/>
            <w:bottom w:w="0" w:type="dxa"/>
            <w:right w:w="10" w:type="dxa"/>
          </w:tblCellMar>
        </w:tblPrEx>
        <w:trPr>
          <w:trHeight w:val="480"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00"/>
              <w:jc w:val="left"/>
              <w:rPr>
                <w:sz w:val="22"/>
                <w:szCs w:val="22"/>
              </w:rPr>
            </w:pPr>
            <w:r>
              <w:rPr>
                <w:rFonts w:ascii="Times New Roman" w:hAnsi="Times New Roman" w:eastAsia="Times New Roman" w:cs="Times New Roman"/>
                <w:color w:val="2B2B2B"/>
                <w:spacing w:val="0"/>
                <w:w w:val="100"/>
                <w:position w:val="0"/>
                <w:sz w:val="22"/>
                <w:szCs w:val="22"/>
              </w:rPr>
              <w:t>17</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慢性腹泻</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60%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640"/>
              <w:jc w:val="both"/>
              <w:rPr>
                <w:sz w:val="22"/>
                <w:szCs w:val="22"/>
              </w:rPr>
            </w:pPr>
            <w:r>
              <w:rPr>
                <w:rFonts w:ascii="Times New Roman" w:hAnsi="Times New Roman" w:eastAsia="Times New Roman" w:cs="Times New Roman"/>
                <w:color w:val="2B2B2B"/>
                <w:spacing w:val="0"/>
                <w:w w:val="100"/>
                <w:position w:val="0"/>
                <w:sz w:val="22"/>
                <w:szCs w:val="22"/>
              </w:rPr>
              <w:t>1600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540"/>
              <w:jc w:val="left"/>
              <w:rPr>
                <w:sz w:val="22"/>
                <w:szCs w:val="22"/>
              </w:rPr>
            </w:pPr>
            <w:r>
              <w:rPr>
                <w:rFonts w:ascii="Times New Roman" w:hAnsi="Times New Roman" w:eastAsia="Times New Roman" w:cs="Times New Roman"/>
                <w:color w:val="2B2B2B"/>
                <w:spacing w:val="0"/>
                <w:w w:val="100"/>
                <w:position w:val="0"/>
                <w:sz w:val="22"/>
                <w:szCs w:val="22"/>
              </w:rPr>
              <w:t>960</w:t>
            </w:r>
          </w:p>
        </w:tc>
      </w:tr>
      <w:tr>
        <w:tblPrEx>
          <w:tblCellMar>
            <w:top w:w="0" w:type="dxa"/>
            <w:left w:w="10" w:type="dxa"/>
            <w:bottom w:w="0" w:type="dxa"/>
            <w:right w:w="10" w:type="dxa"/>
          </w:tblCellMar>
        </w:tblPrEx>
        <w:trPr>
          <w:trHeight w:val="499" w:hRule="exact"/>
          <w:jc w:val="center"/>
        </w:trPr>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00"/>
              <w:jc w:val="left"/>
              <w:rPr>
                <w:sz w:val="22"/>
                <w:szCs w:val="22"/>
              </w:rPr>
            </w:pPr>
            <w:r>
              <w:rPr>
                <w:rFonts w:ascii="Times New Roman" w:hAnsi="Times New Roman" w:eastAsia="Times New Roman" w:cs="Times New Roman"/>
                <w:color w:val="2B2B2B"/>
                <w:spacing w:val="0"/>
                <w:w w:val="100"/>
                <w:position w:val="0"/>
                <w:sz w:val="22"/>
                <w:szCs w:val="22"/>
              </w:rPr>
              <w:t>18</w:t>
            </w:r>
          </w:p>
        </w:tc>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痛风</w:t>
            </w:r>
          </w:p>
        </w:tc>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60%</w:t>
            </w:r>
          </w:p>
        </w:tc>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640"/>
              <w:jc w:val="both"/>
              <w:rPr>
                <w:sz w:val="22"/>
                <w:szCs w:val="22"/>
              </w:rPr>
            </w:pPr>
            <w:r>
              <w:rPr>
                <w:rFonts w:ascii="Times New Roman" w:hAnsi="Times New Roman" w:eastAsia="Times New Roman" w:cs="Times New Roman"/>
                <w:color w:val="2B2B2B"/>
                <w:spacing w:val="0"/>
                <w:w w:val="100"/>
                <w:position w:val="0"/>
                <w:sz w:val="22"/>
                <w:szCs w:val="22"/>
              </w:rPr>
              <w:t>1900</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540"/>
              <w:jc w:val="both"/>
              <w:rPr>
                <w:sz w:val="22"/>
                <w:szCs w:val="22"/>
              </w:rPr>
            </w:pPr>
            <w:r>
              <w:rPr>
                <w:rFonts w:ascii="Times New Roman" w:hAnsi="Times New Roman" w:eastAsia="Times New Roman" w:cs="Times New Roman"/>
                <w:color w:val="2B2B2B"/>
                <w:spacing w:val="0"/>
                <w:w w:val="100"/>
                <w:position w:val="0"/>
                <w:sz w:val="22"/>
                <w:szCs w:val="22"/>
              </w:rPr>
              <w:t>1140</w:t>
            </w:r>
          </w:p>
        </w:tc>
      </w:tr>
    </w:tbl>
    <w:p>
      <w:pPr>
        <w:widowControl w:val="0"/>
        <w:spacing w:after="859" w:line="1" w:lineRule="exact"/>
      </w:pPr>
    </w:p>
    <w:p>
      <w:pPr>
        <w:widowControl w:val="0"/>
        <w:jc w:val="center"/>
        <w:rPr>
          <w:sz w:val="2"/>
          <w:szCs w:val="2"/>
        </w:rPr>
        <w:sectPr>
          <w:headerReference r:id="rId27" w:type="default"/>
          <w:footerReference r:id="rId29" w:type="default"/>
          <w:headerReference r:id="rId28" w:type="even"/>
          <w:footerReference r:id="rId30" w:type="even"/>
          <w:footnotePr>
            <w:numFmt w:val="decimal"/>
          </w:footnotePr>
          <w:pgSz w:w="11900" w:h="16840"/>
          <w:pgMar w:top="3344" w:right="1508" w:bottom="970" w:left="1336" w:header="0" w:footer="542" w:gutter="0"/>
          <w:pgNumType w:start="1"/>
          <w:cols w:space="720" w:num="1"/>
          <w:rtlGutter w:val="0"/>
          <w:docGrid w:linePitch="360" w:charSpace="0"/>
        </w:sectPr>
      </w:pPr>
      <w:r>
        <w:drawing>
          <wp:inline distT="0" distB="0" distL="114300" distR="114300">
            <wp:extent cx="420370" cy="158750"/>
            <wp:effectExtent l="0" t="0" r="17780" b="12700"/>
            <wp:docPr id="52" name="Picutre 52"/>
            <wp:cNvGraphicFramePr/>
            <a:graphic xmlns:a="http://schemas.openxmlformats.org/drawingml/2006/main">
              <a:graphicData uri="http://schemas.openxmlformats.org/drawingml/2006/picture">
                <pic:pic xmlns:pic="http://schemas.openxmlformats.org/drawingml/2006/picture">
                  <pic:nvPicPr>
                    <pic:cNvPr id="52" name="Picutre 52"/>
                    <pic:cNvPicPr/>
                  </pic:nvPicPr>
                  <pic:blipFill>
                    <a:blip r:embed="rId75"/>
                    <a:stretch>
                      <a:fillRect/>
                    </a:stretch>
                  </pic:blipFill>
                  <pic:spPr>
                    <a:xfrm>
                      <a:off x="0" y="0"/>
                      <a:ext cx="420370" cy="158750"/>
                    </a:xfrm>
                    <a:prstGeom prst="rect">
                      <a:avLst/>
                    </a:prstGeom>
                  </pic:spPr>
                </pic:pic>
              </a:graphicData>
            </a:graphic>
          </wp:inline>
        </w:drawing>
      </w:r>
    </w:p>
    <w:p>
      <w:pPr>
        <w:widowControl w:val="0"/>
        <w:spacing w:line="240" w:lineRule="exact"/>
        <w:rPr>
          <w:sz w:val="19"/>
          <w:szCs w:val="19"/>
        </w:rPr>
      </w:pPr>
    </w:p>
    <w:p>
      <w:pPr>
        <w:widowControl w:val="0"/>
        <w:spacing w:before="19" w:after="19" w:line="240" w:lineRule="exact"/>
        <w:rPr>
          <w:sz w:val="19"/>
          <w:szCs w:val="19"/>
        </w:rPr>
      </w:pPr>
    </w:p>
    <w:p>
      <w:pPr>
        <w:widowControl w:val="0"/>
        <w:spacing w:line="1" w:lineRule="exact"/>
        <w:sectPr>
          <w:headerReference r:id="rId31" w:type="default"/>
          <w:footerReference r:id="rId33" w:type="default"/>
          <w:headerReference r:id="rId32" w:type="even"/>
          <w:footerReference r:id="rId34" w:type="even"/>
          <w:footnotePr>
            <w:numFmt w:val="decimal"/>
          </w:footnotePr>
          <w:pgSz w:w="11900" w:h="16840"/>
          <w:pgMar w:top="2347" w:right="1593" w:bottom="1272" w:left="1571" w:header="0" w:footer="3" w:gutter="0"/>
          <w:cols w:space="720" w:num="1"/>
          <w:rtlGutter w:val="0"/>
          <w:docGrid w:linePitch="360" w:charSpace="0"/>
        </w:sectPr>
      </w:pPr>
    </w:p>
    <w:p>
      <w:pPr>
        <w:pStyle w:val="15"/>
        <w:keepNext/>
        <w:keepLines/>
        <w:framePr w:w="6197" w:h="1430" w:wrap="auto" w:vAnchor="text" w:hAnchor="page" w:x="2847" w:y="21"/>
        <w:widowControl w:val="0"/>
        <w:shd w:val="clear" w:color="auto" w:fill="auto"/>
        <w:bidi w:val="0"/>
        <w:spacing w:before="0" w:after="0" w:line="706" w:lineRule="exact"/>
        <w:ind w:left="0" w:right="0" w:firstLine="0"/>
        <w:jc w:val="center"/>
      </w:pPr>
      <w:bookmarkStart w:id="30" w:name="bookmark54"/>
      <w:bookmarkStart w:id="31" w:name="bookmark56"/>
      <w:bookmarkStart w:id="32" w:name="bookmark55"/>
      <w:r>
        <w:rPr>
          <w:color w:val="2B2B2B"/>
          <w:spacing w:val="0"/>
          <w:w w:val="100"/>
          <w:position w:val="0"/>
        </w:rPr>
        <w:t>城乡居民基本医疗保险门诊特病</w:t>
      </w:r>
      <w:r>
        <w:rPr>
          <w:color w:val="2B2B2B"/>
          <w:spacing w:val="0"/>
          <w:w w:val="100"/>
          <w:position w:val="0"/>
        </w:rPr>
        <w:br w:type="textWrapping"/>
      </w:r>
      <w:r>
        <w:rPr>
          <w:color w:val="2B2B2B"/>
          <w:spacing w:val="0"/>
          <w:w w:val="100"/>
          <w:position w:val="0"/>
        </w:rPr>
        <w:t>全省统一病种参考表</w:t>
      </w:r>
      <w:bookmarkEnd w:id="30"/>
      <w:bookmarkEnd w:id="31"/>
      <w:bookmarkEnd w:id="32"/>
    </w:p>
    <w:tbl>
      <w:tblPr>
        <w:tblStyle w:val="2"/>
        <w:tblW w:w="0" w:type="auto"/>
        <w:tblInd w:w="0" w:type="dxa"/>
        <w:tblLayout w:type="fixed"/>
        <w:tblCellMar>
          <w:top w:w="0" w:type="dxa"/>
          <w:left w:w="10" w:type="dxa"/>
          <w:bottom w:w="0" w:type="dxa"/>
          <w:right w:w="10" w:type="dxa"/>
        </w:tblCellMar>
      </w:tblPr>
      <w:tblGrid>
        <w:gridCol w:w="864"/>
        <w:gridCol w:w="3514"/>
      </w:tblGrid>
      <w:tr>
        <w:tblPrEx>
          <w:tblCellMar>
            <w:top w:w="0" w:type="dxa"/>
            <w:left w:w="10" w:type="dxa"/>
            <w:bottom w:w="0" w:type="dxa"/>
            <w:right w:w="10" w:type="dxa"/>
          </w:tblCellMar>
        </w:tblPrEx>
        <w:trPr>
          <w:trHeight w:val="446" w:hRule="exact"/>
        </w:trPr>
        <w:tc>
          <w:tcPr>
            <w:tcBorders>
              <w:top w:val="single" w:color="auto" w:sz="4" w:space="0"/>
              <w:left w:val="single" w:color="auto" w:sz="4" w:space="0"/>
            </w:tcBorders>
            <w:shd w:val="clear" w:color="auto" w:fill="FFFFFF"/>
            <w:vAlign w:val="bottom"/>
          </w:tcPr>
          <w:p>
            <w:pPr>
              <w:pStyle w:val="19"/>
              <w:keepNext w:val="0"/>
              <w:keepLines w:val="0"/>
              <w:framePr w:w="4378" w:h="9638" w:wrap="auto" w:vAnchor="text" w:hAnchor="page" w:x="1572" w:y="2082"/>
              <w:widowControl w:val="0"/>
              <w:shd w:val="clear" w:color="auto" w:fill="auto"/>
              <w:bidi w:val="0"/>
              <w:spacing w:before="0" w:after="0" w:line="240" w:lineRule="auto"/>
              <w:ind w:left="0" w:right="0" w:firstLine="200"/>
              <w:jc w:val="left"/>
              <w:rPr>
                <w:sz w:val="22"/>
                <w:szCs w:val="22"/>
              </w:rPr>
            </w:pPr>
            <w:r>
              <w:rPr>
                <w:color w:val="2B2B2B"/>
                <w:spacing w:val="0"/>
                <w:w w:val="100"/>
                <w:position w:val="0"/>
                <w:sz w:val="22"/>
                <w:szCs w:val="22"/>
              </w:rPr>
              <w:t>序号</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framePr w:w="4378" w:h="9638" w:wrap="auto" w:vAnchor="text" w:hAnchor="page" w:x="1572" w:y="2082"/>
              <w:widowControl w:val="0"/>
              <w:shd w:val="clear" w:color="auto" w:fill="auto"/>
              <w:bidi w:val="0"/>
              <w:spacing w:before="0" w:after="0" w:line="240" w:lineRule="auto"/>
              <w:ind w:left="0" w:right="0" w:firstLine="0"/>
              <w:jc w:val="center"/>
              <w:rPr>
                <w:sz w:val="22"/>
                <w:szCs w:val="22"/>
              </w:rPr>
            </w:pPr>
            <w:r>
              <w:rPr>
                <w:color w:val="2B2B2B"/>
                <w:spacing w:val="0"/>
                <w:w w:val="100"/>
                <w:position w:val="0"/>
                <w:sz w:val="22"/>
                <w:szCs w:val="22"/>
              </w:rPr>
              <w:t>病种名称</w:t>
            </w:r>
          </w:p>
        </w:tc>
      </w:tr>
      <w:tr>
        <w:tblPrEx>
          <w:tblCellMar>
            <w:top w:w="0" w:type="dxa"/>
            <w:left w:w="10" w:type="dxa"/>
            <w:bottom w:w="0" w:type="dxa"/>
            <w:right w:w="10" w:type="dxa"/>
          </w:tblCellMar>
        </w:tblPrEx>
        <w:trPr>
          <w:trHeight w:val="437" w:hRule="exact"/>
        </w:trPr>
        <w:tc>
          <w:tcPr>
            <w:tcBorders>
              <w:top w:val="single" w:color="auto" w:sz="4" w:space="0"/>
              <w:left w:val="single" w:color="auto" w:sz="4" w:space="0"/>
            </w:tcBorders>
            <w:shd w:val="clear" w:color="auto" w:fill="FFFFFF"/>
            <w:vAlign w:val="center"/>
          </w:tcPr>
          <w:p>
            <w:pPr>
              <w:pStyle w:val="19"/>
              <w:keepNext w:val="0"/>
              <w:keepLines w:val="0"/>
              <w:framePr w:w="4378" w:h="9638" w:wrap="auto" w:vAnchor="text" w:hAnchor="page" w:x="1572" w:y="2082"/>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1</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framePr w:w="4378" w:h="9638" w:wrap="auto" w:vAnchor="text" w:hAnchor="page" w:x="1572" w:y="2082"/>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恶性肿瘤放化疗</w:t>
            </w:r>
          </w:p>
        </w:tc>
      </w:tr>
      <w:tr>
        <w:tblPrEx>
          <w:tblCellMar>
            <w:top w:w="0" w:type="dxa"/>
            <w:left w:w="10" w:type="dxa"/>
            <w:bottom w:w="0" w:type="dxa"/>
            <w:right w:w="10" w:type="dxa"/>
          </w:tblCellMar>
        </w:tblPrEx>
        <w:trPr>
          <w:trHeight w:val="437" w:hRule="exact"/>
        </w:trPr>
        <w:tc>
          <w:tcPr>
            <w:tcBorders>
              <w:top w:val="single" w:color="auto" w:sz="4" w:space="0"/>
              <w:left w:val="single" w:color="auto" w:sz="4" w:space="0"/>
            </w:tcBorders>
            <w:shd w:val="clear" w:color="auto" w:fill="FFFFFF"/>
            <w:vAlign w:val="bottom"/>
          </w:tcPr>
          <w:p>
            <w:pPr>
              <w:pStyle w:val="19"/>
              <w:keepNext w:val="0"/>
              <w:keepLines w:val="0"/>
              <w:framePr w:w="4378" w:h="9638" w:wrap="auto" w:vAnchor="text" w:hAnchor="page" w:x="1572" w:y="2082"/>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2</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framePr w:w="4378" w:h="9638" w:wrap="auto" w:vAnchor="text" w:hAnchor="page" w:x="1572" w:y="2082"/>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白血病</w:t>
            </w:r>
          </w:p>
        </w:tc>
      </w:tr>
      <w:tr>
        <w:tblPrEx>
          <w:tblCellMar>
            <w:top w:w="0" w:type="dxa"/>
            <w:left w:w="10" w:type="dxa"/>
            <w:bottom w:w="0" w:type="dxa"/>
            <w:right w:w="10" w:type="dxa"/>
          </w:tblCellMar>
        </w:tblPrEx>
        <w:trPr>
          <w:trHeight w:val="437" w:hRule="exact"/>
        </w:trPr>
        <w:tc>
          <w:tcPr>
            <w:tcBorders>
              <w:top w:val="single" w:color="auto" w:sz="4" w:space="0"/>
              <w:left w:val="single" w:color="auto" w:sz="4" w:space="0"/>
            </w:tcBorders>
            <w:shd w:val="clear" w:color="auto" w:fill="FFFFFF"/>
            <w:vAlign w:val="bottom"/>
          </w:tcPr>
          <w:p>
            <w:pPr>
              <w:pStyle w:val="19"/>
              <w:keepNext w:val="0"/>
              <w:keepLines w:val="0"/>
              <w:framePr w:w="4378" w:h="9638" w:wrap="auto" w:vAnchor="text" w:hAnchor="page" w:x="1572" w:y="2082"/>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3</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framePr w:w="4378" w:h="9638" w:wrap="auto" w:vAnchor="text" w:hAnchor="page" w:x="1572" w:y="2082"/>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骨髓增生异常综合征</w:t>
            </w:r>
          </w:p>
        </w:tc>
      </w:tr>
      <w:tr>
        <w:tblPrEx>
          <w:tblCellMar>
            <w:top w:w="0" w:type="dxa"/>
            <w:left w:w="10" w:type="dxa"/>
            <w:bottom w:w="0" w:type="dxa"/>
            <w:right w:w="10" w:type="dxa"/>
          </w:tblCellMar>
        </w:tblPrEx>
        <w:trPr>
          <w:trHeight w:val="437" w:hRule="exact"/>
        </w:trPr>
        <w:tc>
          <w:tcPr>
            <w:tcBorders>
              <w:top w:val="single" w:color="auto" w:sz="4" w:space="0"/>
              <w:left w:val="single" w:color="auto" w:sz="4" w:space="0"/>
            </w:tcBorders>
            <w:shd w:val="clear" w:color="auto" w:fill="FFFFFF"/>
            <w:vAlign w:val="bottom"/>
          </w:tcPr>
          <w:p>
            <w:pPr>
              <w:pStyle w:val="19"/>
              <w:keepNext w:val="0"/>
              <w:keepLines w:val="0"/>
              <w:framePr w:w="4378" w:h="9638" w:wrap="auto" w:vAnchor="text" w:hAnchor="page" w:x="1572" w:y="2082"/>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4</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framePr w:w="4378" w:h="9638" w:wrap="auto" w:vAnchor="text" w:hAnchor="page" w:x="1572" w:y="2082"/>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血友病</w:t>
            </w:r>
          </w:p>
        </w:tc>
      </w:tr>
      <w:tr>
        <w:tblPrEx>
          <w:tblCellMar>
            <w:top w:w="0" w:type="dxa"/>
            <w:left w:w="10" w:type="dxa"/>
            <w:bottom w:w="0" w:type="dxa"/>
            <w:right w:w="10" w:type="dxa"/>
          </w:tblCellMar>
        </w:tblPrEx>
        <w:trPr>
          <w:trHeight w:val="442" w:hRule="exact"/>
        </w:trPr>
        <w:tc>
          <w:tcPr>
            <w:tcBorders>
              <w:top w:val="single" w:color="auto" w:sz="4" w:space="0"/>
              <w:left w:val="single" w:color="auto" w:sz="4" w:space="0"/>
            </w:tcBorders>
            <w:shd w:val="clear" w:color="auto" w:fill="FFFFFF"/>
            <w:vAlign w:val="bottom"/>
          </w:tcPr>
          <w:p>
            <w:pPr>
              <w:pStyle w:val="19"/>
              <w:keepNext w:val="0"/>
              <w:keepLines w:val="0"/>
              <w:framePr w:w="4378" w:h="9638" w:wrap="auto" w:vAnchor="text" w:hAnchor="page" w:x="1572" w:y="2082"/>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5</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framePr w:w="4378" w:h="9638" w:wrap="auto" w:vAnchor="text" w:hAnchor="page" w:x="1572" w:y="2082"/>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原发性血小板减少性紫瘢</w:t>
            </w:r>
          </w:p>
        </w:tc>
      </w:tr>
      <w:tr>
        <w:tblPrEx>
          <w:tblCellMar>
            <w:top w:w="0" w:type="dxa"/>
            <w:left w:w="10" w:type="dxa"/>
            <w:bottom w:w="0" w:type="dxa"/>
            <w:right w:w="10" w:type="dxa"/>
          </w:tblCellMar>
        </w:tblPrEx>
        <w:trPr>
          <w:trHeight w:val="437" w:hRule="exact"/>
        </w:trPr>
        <w:tc>
          <w:tcPr>
            <w:tcBorders>
              <w:top w:val="single" w:color="auto" w:sz="4" w:space="0"/>
              <w:left w:val="single" w:color="auto" w:sz="4" w:space="0"/>
            </w:tcBorders>
            <w:shd w:val="clear" w:color="auto" w:fill="FFFFFF"/>
            <w:vAlign w:val="top"/>
          </w:tcPr>
          <w:p>
            <w:pPr>
              <w:pStyle w:val="19"/>
              <w:keepNext w:val="0"/>
              <w:keepLines w:val="0"/>
              <w:framePr w:w="4378" w:h="9638" w:wrap="auto" w:vAnchor="text" w:hAnchor="page" w:x="1572" w:y="2082"/>
              <w:widowControl w:val="0"/>
              <w:shd w:val="clear" w:color="auto" w:fill="auto"/>
              <w:bidi w:val="0"/>
              <w:spacing w:before="8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6</w:t>
            </w:r>
          </w:p>
        </w:tc>
        <w:tc>
          <w:tcPr>
            <w:tcBorders>
              <w:top w:val="single" w:color="auto" w:sz="4" w:space="0"/>
              <w:left w:val="single" w:color="auto" w:sz="4" w:space="0"/>
              <w:right w:val="single" w:color="auto" w:sz="4" w:space="0"/>
            </w:tcBorders>
            <w:shd w:val="clear" w:color="auto" w:fill="FFFFFF"/>
            <w:vAlign w:val="top"/>
          </w:tcPr>
          <w:p>
            <w:pPr>
              <w:pStyle w:val="19"/>
              <w:keepNext w:val="0"/>
              <w:keepLines w:val="0"/>
              <w:framePr w:w="4378" w:h="9638" w:wrap="auto" w:vAnchor="text" w:hAnchor="page" w:x="1572" w:y="2082"/>
              <w:widowControl w:val="0"/>
              <w:shd w:val="clear" w:color="auto" w:fill="auto"/>
              <w:bidi w:val="0"/>
              <w:spacing w:before="80" w:after="0" w:line="240" w:lineRule="auto"/>
              <w:ind w:left="0" w:right="0" w:firstLine="0"/>
              <w:jc w:val="left"/>
              <w:rPr>
                <w:sz w:val="22"/>
                <w:szCs w:val="22"/>
              </w:rPr>
            </w:pPr>
            <w:r>
              <w:rPr>
                <w:color w:val="2B2B2B"/>
                <w:spacing w:val="0"/>
                <w:w w:val="100"/>
                <w:position w:val="0"/>
                <w:sz w:val="22"/>
                <w:szCs w:val="22"/>
              </w:rPr>
              <w:t>脑瘫</w:t>
            </w:r>
          </w:p>
        </w:tc>
      </w:tr>
      <w:tr>
        <w:tblPrEx>
          <w:tblCellMar>
            <w:top w:w="0" w:type="dxa"/>
            <w:left w:w="10" w:type="dxa"/>
            <w:bottom w:w="0" w:type="dxa"/>
            <w:right w:w="10" w:type="dxa"/>
          </w:tblCellMar>
        </w:tblPrEx>
        <w:trPr>
          <w:trHeight w:val="437" w:hRule="exact"/>
        </w:trPr>
        <w:tc>
          <w:tcPr>
            <w:tcBorders>
              <w:top w:val="single" w:color="auto" w:sz="4" w:space="0"/>
              <w:left w:val="single" w:color="auto" w:sz="4" w:space="0"/>
            </w:tcBorders>
            <w:shd w:val="clear" w:color="auto" w:fill="FFFFFF"/>
            <w:vAlign w:val="top"/>
          </w:tcPr>
          <w:p>
            <w:pPr>
              <w:pStyle w:val="19"/>
              <w:keepNext w:val="0"/>
              <w:keepLines w:val="0"/>
              <w:framePr w:w="4378" w:h="9638" w:wrap="auto" w:vAnchor="text" w:hAnchor="page" w:x="1572" w:y="2082"/>
              <w:widowControl w:val="0"/>
              <w:shd w:val="clear" w:color="auto" w:fill="auto"/>
              <w:bidi w:val="0"/>
              <w:spacing w:before="8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7</w:t>
            </w:r>
          </w:p>
        </w:tc>
        <w:tc>
          <w:tcPr>
            <w:tcBorders>
              <w:top w:val="single" w:color="auto" w:sz="4" w:space="0"/>
              <w:left w:val="single" w:color="auto" w:sz="4" w:space="0"/>
              <w:right w:val="single" w:color="auto" w:sz="4" w:space="0"/>
            </w:tcBorders>
            <w:shd w:val="clear" w:color="auto" w:fill="FFFFFF"/>
            <w:vAlign w:val="top"/>
          </w:tcPr>
          <w:p>
            <w:pPr>
              <w:pStyle w:val="19"/>
              <w:keepNext w:val="0"/>
              <w:keepLines w:val="0"/>
              <w:framePr w:w="4378" w:h="9638" w:wrap="auto" w:vAnchor="text" w:hAnchor="page" w:x="1572" w:y="2082"/>
              <w:widowControl w:val="0"/>
              <w:shd w:val="clear" w:color="auto" w:fill="auto"/>
              <w:bidi w:val="0"/>
              <w:spacing w:before="80" w:after="0" w:line="240" w:lineRule="auto"/>
              <w:ind w:left="0" w:right="0" w:firstLine="0"/>
              <w:jc w:val="left"/>
              <w:rPr>
                <w:sz w:val="22"/>
                <w:szCs w:val="22"/>
              </w:rPr>
            </w:pPr>
            <w:r>
              <w:rPr>
                <w:color w:val="2B2B2B"/>
                <w:spacing w:val="0"/>
                <w:w w:val="100"/>
                <w:position w:val="0"/>
                <w:sz w:val="22"/>
                <w:szCs w:val="22"/>
              </w:rPr>
              <w:t>器官移植抗排异治疗</w:t>
            </w:r>
          </w:p>
        </w:tc>
      </w:tr>
      <w:tr>
        <w:tblPrEx>
          <w:tblCellMar>
            <w:top w:w="0" w:type="dxa"/>
            <w:left w:w="10" w:type="dxa"/>
            <w:bottom w:w="0" w:type="dxa"/>
            <w:right w:w="10" w:type="dxa"/>
          </w:tblCellMar>
        </w:tblPrEx>
        <w:trPr>
          <w:trHeight w:val="437" w:hRule="exact"/>
        </w:trPr>
        <w:tc>
          <w:tcPr>
            <w:tcBorders>
              <w:top w:val="single" w:color="auto" w:sz="4" w:space="0"/>
              <w:left w:val="single" w:color="auto" w:sz="4" w:space="0"/>
            </w:tcBorders>
            <w:shd w:val="clear" w:color="auto" w:fill="FFFFFF"/>
            <w:vAlign w:val="bottom"/>
          </w:tcPr>
          <w:p>
            <w:pPr>
              <w:pStyle w:val="19"/>
              <w:keepNext w:val="0"/>
              <w:keepLines w:val="0"/>
              <w:framePr w:w="4378" w:h="9638" w:wrap="auto" w:vAnchor="text" w:hAnchor="page" w:x="1572" w:y="2082"/>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8</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framePr w:w="4378" w:h="9638" w:wrap="auto" w:vAnchor="text" w:hAnchor="page" w:x="1572" w:y="2082"/>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血管支架移植术后</w:t>
            </w:r>
          </w:p>
        </w:tc>
      </w:tr>
      <w:tr>
        <w:tblPrEx>
          <w:tblCellMar>
            <w:top w:w="0" w:type="dxa"/>
            <w:left w:w="10" w:type="dxa"/>
            <w:bottom w:w="0" w:type="dxa"/>
            <w:right w:w="10" w:type="dxa"/>
          </w:tblCellMar>
        </w:tblPrEx>
        <w:trPr>
          <w:trHeight w:val="437" w:hRule="exact"/>
        </w:trPr>
        <w:tc>
          <w:tcPr>
            <w:tcBorders>
              <w:top w:val="single" w:color="auto" w:sz="4" w:space="0"/>
              <w:left w:val="single" w:color="auto" w:sz="4" w:space="0"/>
            </w:tcBorders>
            <w:shd w:val="clear" w:color="auto" w:fill="FFFFFF"/>
            <w:vAlign w:val="bottom"/>
          </w:tcPr>
          <w:p>
            <w:pPr>
              <w:pStyle w:val="19"/>
              <w:keepNext w:val="0"/>
              <w:keepLines w:val="0"/>
              <w:framePr w:w="4378" w:h="9638" w:wrap="auto" w:vAnchor="text" w:hAnchor="page" w:x="1572" w:y="2082"/>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9</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framePr w:w="4378" w:h="9638" w:wrap="auto" w:vAnchor="text" w:hAnchor="page" w:x="1572" w:y="2082"/>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心脏换瓣膜术后</w:t>
            </w:r>
          </w:p>
        </w:tc>
      </w:tr>
      <w:tr>
        <w:tblPrEx>
          <w:tblCellMar>
            <w:top w:w="0" w:type="dxa"/>
            <w:left w:w="10" w:type="dxa"/>
            <w:bottom w:w="0" w:type="dxa"/>
            <w:right w:w="10" w:type="dxa"/>
          </w:tblCellMar>
        </w:tblPrEx>
        <w:trPr>
          <w:trHeight w:val="437" w:hRule="exact"/>
        </w:trPr>
        <w:tc>
          <w:tcPr>
            <w:tcBorders>
              <w:top w:val="single" w:color="auto" w:sz="4" w:space="0"/>
              <w:left w:val="single" w:color="auto" w:sz="4" w:space="0"/>
            </w:tcBorders>
            <w:shd w:val="clear" w:color="auto" w:fill="FFFFFF"/>
            <w:vAlign w:val="bottom"/>
          </w:tcPr>
          <w:p>
            <w:pPr>
              <w:pStyle w:val="19"/>
              <w:keepNext w:val="0"/>
              <w:keepLines w:val="0"/>
              <w:framePr w:w="4378" w:h="9638" w:wrap="auto" w:vAnchor="text" w:hAnchor="page" w:x="1572" w:y="2082"/>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10</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framePr w:w="4378" w:h="9638" w:wrap="auto" w:vAnchor="text" w:hAnchor="page" w:x="1572" w:y="2082"/>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造血干细胞移植术后</w:t>
            </w:r>
          </w:p>
        </w:tc>
      </w:tr>
      <w:tr>
        <w:tblPrEx>
          <w:tblCellMar>
            <w:top w:w="0" w:type="dxa"/>
            <w:left w:w="10" w:type="dxa"/>
            <w:bottom w:w="0" w:type="dxa"/>
            <w:right w:w="10" w:type="dxa"/>
          </w:tblCellMar>
        </w:tblPrEx>
        <w:trPr>
          <w:trHeight w:val="437" w:hRule="exact"/>
        </w:trPr>
        <w:tc>
          <w:tcPr>
            <w:tcBorders>
              <w:top w:val="single" w:color="auto" w:sz="4" w:space="0"/>
              <w:left w:val="single" w:color="auto" w:sz="4" w:space="0"/>
            </w:tcBorders>
            <w:shd w:val="clear" w:color="auto" w:fill="FFFFFF"/>
            <w:vAlign w:val="center"/>
          </w:tcPr>
          <w:p>
            <w:pPr>
              <w:pStyle w:val="19"/>
              <w:keepNext w:val="0"/>
              <w:keepLines w:val="0"/>
              <w:framePr w:w="4378" w:h="9638" w:wrap="auto" w:vAnchor="text" w:hAnchor="page" w:x="1572" w:y="2082"/>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11</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framePr w:w="4378" w:h="9638" w:wrap="auto" w:vAnchor="text" w:hAnchor="page" w:x="1572" w:y="2082"/>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胃息肉内镜治疗</w:t>
            </w:r>
          </w:p>
        </w:tc>
      </w:tr>
      <w:tr>
        <w:tblPrEx>
          <w:tblCellMar>
            <w:top w:w="0" w:type="dxa"/>
            <w:left w:w="10" w:type="dxa"/>
            <w:bottom w:w="0" w:type="dxa"/>
            <w:right w:w="10" w:type="dxa"/>
          </w:tblCellMar>
        </w:tblPrEx>
        <w:trPr>
          <w:trHeight w:val="442" w:hRule="exact"/>
        </w:trPr>
        <w:tc>
          <w:tcPr>
            <w:tcBorders>
              <w:top w:val="single" w:color="auto" w:sz="4" w:space="0"/>
              <w:left w:val="single" w:color="auto" w:sz="4" w:space="0"/>
            </w:tcBorders>
            <w:shd w:val="clear" w:color="auto" w:fill="FFFFFF"/>
            <w:vAlign w:val="top"/>
          </w:tcPr>
          <w:p>
            <w:pPr>
              <w:pStyle w:val="19"/>
              <w:keepNext w:val="0"/>
              <w:keepLines w:val="0"/>
              <w:framePr w:w="4378" w:h="9638" w:wrap="auto" w:vAnchor="text" w:hAnchor="page" w:x="1572" w:y="2082"/>
              <w:widowControl w:val="0"/>
              <w:shd w:val="clear" w:color="auto" w:fill="auto"/>
              <w:bidi w:val="0"/>
              <w:spacing w:before="8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12</w:t>
            </w:r>
          </w:p>
        </w:tc>
        <w:tc>
          <w:tcPr>
            <w:tcBorders>
              <w:top w:val="single" w:color="auto" w:sz="4" w:space="0"/>
              <w:left w:val="single" w:color="auto" w:sz="4" w:space="0"/>
              <w:right w:val="single" w:color="auto" w:sz="4" w:space="0"/>
            </w:tcBorders>
            <w:shd w:val="clear" w:color="auto" w:fill="FFFFFF"/>
            <w:vAlign w:val="top"/>
          </w:tcPr>
          <w:p>
            <w:pPr>
              <w:pStyle w:val="19"/>
              <w:keepNext w:val="0"/>
              <w:keepLines w:val="0"/>
              <w:framePr w:w="4378" w:h="9638" w:wrap="auto" w:vAnchor="text" w:hAnchor="page" w:x="1572" w:y="2082"/>
              <w:widowControl w:val="0"/>
              <w:shd w:val="clear" w:color="auto" w:fill="auto"/>
              <w:bidi w:val="0"/>
              <w:spacing w:before="80" w:after="0" w:line="240" w:lineRule="auto"/>
              <w:ind w:left="0" w:right="0" w:firstLine="0"/>
              <w:jc w:val="left"/>
              <w:rPr>
                <w:sz w:val="22"/>
                <w:szCs w:val="22"/>
              </w:rPr>
            </w:pPr>
            <w:r>
              <w:rPr>
                <w:color w:val="2B2B2B"/>
                <w:spacing w:val="0"/>
                <w:w w:val="100"/>
                <w:position w:val="0"/>
                <w:sz w:val="22"/>
                <w:szCs w:val="22"/>
              </w:rPr>
              <w:t>痔疮门诊手术治疗</w:t>
            </w:r>
          </w:p>
        </w:tc>
      </w:tr>
      <w:tr>
        <w:tblPrEx>
          <w:tblCellMar>
            <w:top w:w="0" w:type="dxa"/>
            <w:left w:w="10" w:type="dxa"/>
            <w:bottom w:w="0" w:type="dxa"/>
            <w:right w:w="10" w:type="dxa"/>
          </w:tblCellMar>
        </w:tblPrEx>
        <w:trPr>
          <w:trHeight w:val="437" w:hRule="exact"/>
        </w:trPr>
        <w:tc>
          <w:tcPr>
            <w:tcBorders>
              <w:top w:val="single" w:color="auto" w:sz="4" w:space="0"/>
              <w:left w:val="single" w:color="auto" w:sz="4" w:space="0"/>
            </w:tcBorders>
            <w:shd w:val="clear" w:color="auto" w:fill="FFFFFF"/>
            <w:vAlign w:val="top"/>
          </w:tcPr>
          <w:p>
            <w:pPr>
              <w:pStyle w:val="19"/>
              <w:keepNext w:val="0"/>
              <w:keepLines w:val="0"/>
              <w:framePr w:w="4378" w:h="9638" w:wrap="auto" w:vAnchor="text" w:hAnchor="page" w:x="1572" w:y="2082"/>
              <w:widowControl w:val="0"/>
              <w:shd w:val="clear" w:color="auto" w:fill="auto"/>
              <w:bidi w:val="0"/>
              <w:spacing w:before="8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13</w:t>
            </w:r>
          </w:p>
        </w:tc>
        <w:tc>
          <w:tcPr>
            <w:tcBorders>
              <w:top w:val="single" w:color="auto" w:sz="4" w:space="0"/>
              <w:left w:val="single" w:color="auto" w:sz="4" w:space="0"/>
              <w:right w:val="single" w:color="auto" w:sz="4" w:space="0"/>
            </w:tcBorders>
            <w:shd w:val="clear" w:color="auto" w:fill="FFFFFF"/>
            <w:vAlign w:val="top"/>
          </w:tcPr>
          <w:p>
            <w:pPr>
              <w:pStyle w:val="19"/>
              <w:keepNext w:val="0"/>
              <w:keepLines w:val="0"/>
              <w:framePr w:w="4378" w:h="9638" w:wrap="auto" w:vAnchor="text" w:hAnchor="page" w:x="1572" w:y="2082"/>
              <w:widowControl w:val="0"/>
              <w:shd w:val="clear" w:color="auto" w:fill="auto"/>
              <w:bidi w:val="0"/>
              <w:spacing w:before="80" w:after="0" w:line="240" w:lineRule="auto"/>
              <w:ind w:left="0" w:right="0" w:firstLine="0"/>
              <w:jc w:val="left"/>
              <w:rPr>
                <w:sz w:val="22"/>
                <w:szCs w:val="22"/>
              </w:rPr>
            </w:pPr>
            <w:r>
              <w:rPr>
                <w:color w:val="2B2B2B"/>
                <w:spacing w:val="0"/>
                <w:w w:val="100"/>
                <w:position w:val="0"/>
                <w:sz w:val="22"/>
                <w:szCs w:val="22"/>
              </w:rPr>
              <w:t>肾、输尿管结石（体分冲击波碎石）</w:t>
            </w:r>
          </w:p>
        </w:tc>
      </w:tr>
      <w:tr>
        <w:tblPrEx>
          <w:tblCellMar>
            <w:top w:w="0" w:type="dxa"/>
            <w:left w:w="10" w:type="dxa"/>
            <w:bottom w:w="0" w:type="dxa"/>
            <w:right w:w="10" w:type="dxa"/>
          </w:tblCellMar>
        </w:tblPrEx>
        <w:trPr>
          <w:trHeight w:val="437" w:hRule="exact"/>
        </w:trPr>
        <w:tc>
          <w:tcPr>
            <w:tcBorders>
              <w:top w:val="single" w:color="auto" w:sz="4" w:space="0"/>
              <w:left w:val="single" w:color="auto" w:sz="4" w:space="0"/>
            </w:tcBorders>
            <w:shd w:val="clear" w:color="auto" w:fill="FFFFFF"/>
            <w:vAlign w:val="top"/>
          </w:tcPr>
          <w:p>
            <w:pPr>
              <w:pStyle w:val="19"/>
              <w:keepNext w:val="0"/>
              <w:keepLines w:val="0"/>
              <w:framePr w:w="4378" w:h="9638" w:wrap="auto" w:vAnchor="text" w:hAnchor="page" w:x="1572" w:y="2082"/>
              <w:widowControl w:val="0"/>
              <w:shd w:val="clear" w:color="auto" w:fill="auto"/>
              <w:bidi w:val="0"/>
              <w:spacing w:before="8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14</w:t>
            </w:r>
          </w:p>
        </w:tc>
        <w:tc>
          <w:tcPr>
            <w:tcBorders>
              <w:top w:val="single" w:color="auto" w:sz="4" w:space="0"/>
              <w:left w:val="single" w:color="auto" w:sz="4" w:space="0"/>
              <w:right w:val="single" w:color="auto" w:sz="4" w:space="0"/>
            </w:tcBorders>
            <w:shd w:val="clear" w:color="auto" w:fill="FFFFFF"/>
            <w:vAlign w:val="top"/>
          </w:tcPr>
          <w:p>
            <w:pPr>
              <w:pStyle w:val="19"/>
              <w:keepNext w:val="0"/>
              <w:keepLines w:val="0"/>
              <w:framePr w:w="4378" w:h="9638" w:wrap="auto" w:vAnchor="text" w:hAnchor="page" w:x="1572" w:y="2082"/>
              <w:widowControl w:val="0"/>
              <w:shd w:val="clear" w:color="auto" w:fill="auto"/>
              <w:bidi w:val="0"/>
              <w:spacing w:before="80" w:after="0" w:line="240" w:lineRule="auto"/>
              <w:ind w:left="0" w:right="0" w:firstLine="0"/>
              <w:jc w:val="left"/>
              <w:rPr>
                <w:sz w:val="22"/>
                <w:szCs w:val="22"/>
              </w:rPr>
            </w:pPr>
            <w:r>
              <w:rPr>
                <w:color w:val="2B2B2B"/>
                <w:spacing w:val="0"/>
                <w:w w:val="100"/>
                <w:position w:val="0"/>
                <w:sz w:val="22"/>
                <w:szCs w:val="22"/>
              </w:rPr>
              <w:t>乳腺癌（内分泌治疗）</w:t>
            </w:r>
          </w:p>
        </w:tc>
      </w:tr>
      <w:tr>
        <w:tblPrEx>
          <w:tblCellMar>
            <w:top w:w="0" w:type="dxa"/>
            <w:left w:w="10" w:type="dxa"/>
            <w:bottom w:w="0" w:type="dxa"/>
            <w:right w:w="10" w:type="dxa"/>
          </w:tblCellMar>
        </w:tblPrEx>
        <w:trPr>
          <w:trHeight w:val="437" w:hRule="exact"/>
        </w:trPr>
        <w:tc>
          <w:tcPr>
            <w:tcBorders>
              <w:top w:val="single" w:color="auto" w:sz="4" w:space="0"/>
              <w:left w:val="single" w:color="auto" w:sz="4" w:space="0"/>
            </w:tcBorders>
            <w:shd w:val="clear" w:color="auto" w:fill="FFFFFF"/>
            <w:vAlign w:val="bottom"/>
          </w:tcPr>
          <w:p>
            <w:pPr>
              <w:pStyle w:val="19"/>
              <w:keepNext w:val="0"/>
              <w:keepLines w:val="0"/>
              <w:framePr w:w="4378" w:h="9638" w:wrap="auto" w:vAnchor="text" w:hAnchor="page" w:x="1572" w:y="2082"/>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15</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framePr w:w="4378" w:h="9638" w:wrap="auto" w:vAnchor="text" w:hAnchor="page" w:x="1572" w:y="2082"/>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前列腺癌（内分泌治疗）</w:t>
            </w:r>
          </w:p>
        </w:tc>
      </w:tr>
      <w:tr>
        <w:tblPrEx>
          <w:tblCellMar>
            <w:top w:w="0" w:type="dxa"/>
            <w:left w:w="10" w:type="dxa"/>
            <w:bottom w:w="0" w:type="dxa"/>
            <w:right w:w="10" w:type="dxa"/>
          </w:tblCellMar>
        </w:tblPrEx>
        <w:trPr>
          <w:trHeight w:val="437" w:hRule="exact"/>
        </w:trPr>
        <w:tc>
          <w:tcPr>
            <w:tcBorders>
              <w:top w:val="single" w:color="auto" w:sz="4" w:space="0"/>
              <w:left w:val="single" w:color="auto" w:sz="4" w:space="0"/>
            </w:tcBorders>
            <w:shd w:val="clear" w:color="auto" w:fill="FFFFFF"/>
            <w:vAlign w:val="bottom"/>
          </w:tcPr>
          <w:p>
            <w:pPr>
              <w:pStyle w:val="19"/>
              <w:keepNext w:val="0"/>
              <w:keepLines w:val="0"/>
              <w:framePr w:w="4378" w:h="9638" w:wrap="auto" w:vAnchor="text" w:hAnchor="page" w:x="1572" w:y="2082"/>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16</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framePr w:w="4378" w:h="9638" w:wrap="auto" w:vAnchor="text" w:hAnchor="page" w:x="1572" w:y="2082"/>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病毒性肝炎</w:t>
            </w:r>
          </w:p>
        </w:tc>
      </w:tr>
      <w:tr>
        <w:tblPrEx>
          <w:tblCellMar>
            <w:top w:w="0" w:type="dxa"/>
            <w:left w:w="10" w:type="dxa"/>
            <w:bottom w:w="0" w:type="dxa"/>
            <w:right w:w="10" w:type="dxa"/>
          </w:tblCellMar>
        </w:tblPrEx>
        <w:trPr>
          <w:trHeight w:val="432" w:hRule="exact"/>
        </w:trPr>
        <w:tc>
          <w:tcPr>
            <w:tcBorders>
              <w:top w:val="single" w:color="auto" w:sz="4" w:space="0"/>
              <w:left w:val="single" w:color="auto" w:sz="4" w:space="0"/>
            </w:tcBorders>
            <w:shd w:val="clear" w:color="auto" w:fill="FFFFFF"/>
            <w:vAlign w:val="bottom"/>
          </w:tcPr>
          <w:p>
            <w:pPr>
              <w:pStyle w:val="19"/>
              <w:keepNext w:val="0"/>
              <w:keepLines w:val="0"/>
              <w:framePr w:w="4378" w:h="9638" w:wrap="auto" w:vAnchor="text" w:hAnchor="page" w:x="1572" w:y="2082"/>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17</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framePr w:w="4378" w:h="9638" w:wrap="auto" w:vAnchor="text" w:hAnchor="page" w:x="1572" w:y="2082"/>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肝豆状核变性</w:t>
            </w:r>
          </w:p>
        </w:tc>
      </w:tr>
      <w:tr>
        <w:tblPrEx>
          <w:tblCellMar>
            <w:top w:w="0" w:type="dxa"/>
            <w:left w:w="10" w:type="dxa"/>
            <w:bottom w:w="0" w:type="dxa"/>
            <w:right w:w="10" w:type="dxa"/>
          </w:tblCellMar>
        </w:tblPrEx>
        <w:trPr>
          <w:trHeight w:val="446" w:hRule="exact"/>
        </w:trPr>
        <w:tc>
          <w:tcPr>
            <w:tcBorders>
              <w:top w:val="single" w:color="auto" w:sz="4" w:space="0"/>
              <w:left w:val="single" w:color="auto" w:sz="4" w:space="0"/>
            </w:tcBorders>
            <w:shd w:val="clear" w:color="auto" w:fill="FFFFFF"/>
            <w:vAlign w:val="center"/>
          </w:tcPr>
          <w:p>
            <w:pPr>
              <w:pStyle w:val="19"/>
              <w:keepNext w:val="0"/>
              <w:keepLines w:val="0"/>
              <w:framePr w:w="4378" w:h="9638" w:wrap="auto" w:vAnchor="text" w:hAnchor="page" w:x="1572" w:y="2082"/>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18</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framePr w:w="4378" w:h="9638" w:wrap="auto" w:vAnchor="text" w:hAnchor="page" w:x="1572" w:y="2082"/>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肝硬化</w:t>
            </w:r>
          </w:p>
        </w:tc>
      </w:tr>
      <w:tr>
        <w:tblPrEx>
          <w:tblCellMar>
            <w:top w:w="0" w:type="dxa"/>
            <w:left w:w="10" w:type="dxa"/>
            <w:bottom w:w="0" w:type="dxa"/>
            <w:right w:w="10" w:type="dxa"/>
          </w:tblCellMar>
        </w:tblPrEx>
        <w:trPr>
          <w:trHeight w:val="437" w:hRule="exact"/>
        </w:trPr>
        <w:tc>
          <w:tcPr>
            <w:tcBorders>
              <w:top w:val="single" w:color="auto" w:sz="4" w:space="0"/>
              <w:left w:val="single" w:color="auto" w:sz="4" w:space="0"/>
            </w:tcBorders>
            <w:shd w:val="clear" w:color="auto" w:fill="FFFFFF"/>
            <w:vAlign w:val="top"/>
          </w:tcPr>
          <w:p>
            <w:pPr>
              <w:pStyle w:val="19"/>
              <w:keepNext w:val="0"/>
              <w:keepLines w:val="0"/>
              <w:framePr w:w="4378" w:h="9638" w:wrap="auto" w:vAnchor="text" w:hAnchor="page" w:x="1572" w:y="2082"/>
              <w:widowControl w:val="0"/>
              <w:shd w:val="clear" w:color="auto" w:fill="auto"/>
              <w:bidi w:val="0"/>
              <w:spacing w:before="8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19</w:t>
            </w:r>
          </w:p>
        </w:tc>
        <w:tc>
          <w:tcPr>
            <w:tcBorders>
              <w:top w:val="single" w:color="auto" w:sz="4" w:space="0"/>
              <w:left w:val="single" w:color="auto" w:sz="4" w:space="0"/>
              <w:right w:val="single" w:color="auto" w:sz="4" w:space="0"/>
            </w:tcBorders>
            <w:shd w:val="clear" w:color="auto" w:fill="FFFFFF"/>
            <w:vAlign w:val="top"/>
          </w:tcPr>
          <w:p>
            <w:pPr>
              <w:pStyle w:val="19"/>
              <w:keepNext w:val="0"/>
              <w:keepLines w:val="0"/>
              <w:framePr w:w="4378" w:h="9638" w:wrap="auto" w:vAnchor="text" w:hAnchor="page" w:x="1572" w:y="2082"/>
              <w:widowControl w:val="0"/>
              <w:shd w:val="clear" w:color="auto" w:fill="auto"/>
              <w:bidi w:val="0"/>
              <w:spacing w:before="80" w:after="0" w:line="240" w:lineRule="auto"/>
              <w:ind w:left="0" w:right="0" w:firstLine="0"/>
              <w:jc w:val="left"/>
              <w:rPr>
                <w:sz w:val="22"/>
                <w:szCs w:val="22"/>
              </w:rPr>
            </w:pPr>
            <w:r>
              <w:rPr>
                <w:color w:val="2B2B2B"/>
                <w:spacing w:val="0"/>
                <w:w w:val="100"/>
                <w:position w:val="0"/>
                <w:sz w:val="22"/>
                <w:szCs w:val="22"/>
                <w:lang w:val="zh-CN" w:eastAsia="zh-CN" w:bidi="zh-CN"/>
              </w:rPr>
              <w:t>肺结核</w:t>
            </w:r>
            <w:r>
              <w:rPr>
                <w:color w:val="2B2B2B"/>
                <w:spacing w:val="0"/>
                <w:w w:val="100"/>
                <w:position w:val="0"/>
                <w:sz w:val="22"/>
                <w:szCs w:val="22"/>
              </w:rPr>
              <w:t>（免费项目除外）</w:t>
            </w:r>
          </w:p>
        </w:tc>
      </w:tr>
      <w:tr>
        <w:tblPrEx>
          <w:tblCellMar>
            <w:top w:w="0" w:type="dxa"/>
            <w:left w:w="10" w:type="dxa"/>
            <w:bottom w:w="0" w:type="dxa"/>
            <w:right w:w="10" w:type="dxa"/>
          </w:tblCellMar>
        </w:tblPrEx>
        <w:trPr>
          <w:trHeight w:val="437" w:hRule="exact"/>
        </w:trPr>
        <w:tc>
          <w:tcPr>
            <w:tcBorders>
              <w:top w:val="single" w:color="auto" w:sz="4" w:space="0"/>
              <w:left w:val="single" w:color="auto" w:sz="4" w:space="0"/>
            </w:tcBorders>
            <w:shd w:val="clear" w:color="auto" w:fill="FFFFFF"/>
            <w:vAlign w:val="top"/>
          </w:tcPr>
          <w:p>
            <w:pPr>
              <w:pStyle w:val="19"/>
              <w:keepNext w:val="0"/>
              <w:keepLines w:val="0"/>
              <w:framePr w:w="4378" w:h="9638" w:wrap="auto" w:vAnchor="text" w:hAnchor="page" w:x="1572" w:y="2082"/>
              <w:widowControl w:val="0"/>
              <w:shd w:val="clear" w:color="auto" w:fill="auto"/>
              <w:bidi w:val="0"/>
              <w:spacing w:before="8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20</w:t>
            </w:r>
          </w:p>
        </w:tc>
        <w:tc>
          <w:tcPr>
            <w:tcBorders>
              <w:top w:val="single" w:color="auto" w:sz="4" w:space="0"/>
              <w:left w:val="single" w:color="auto" w:sz="4" w:space="0"/>
              <w:right w:val="single" w:color="auto" w:sz="4" w:space="0"/>
            </w:tcBorders>
            <w:shd w:val="clear" w:color="auto" w:fill="FFFFFF"/>
            <w:vAlign w:val="top"/>
          </w:tcPr>
          <w:p>
            <w:pPr>
              <w:pStyle w:val="19"/>
              <w:keepNext w:val="0"/>
              <w:keepLines w:val="0"/>
              <w:framePr w:w="4378" w:h="9638" w:wrap="auto" w:vAnchor="text" w:hAnchor="page" w:x="1572" w:y="2082"/>
              <w:widowControl w:val="0"/>
              <w:shd w:val="clear" w:color="auto" w:fill="auto"/>
              <w:bidi w:val="0"/>
              <w:spacing w:before="80" w:after="0" w:line="240" w:lineRule="auto"/>
              <w:ind w:left="0" w:right="0" w:firstLine="0"/>
              <w:jc w:val="left"/>
              <w:rPr>
                <w:sz w:val="22"/>
                <w:szCs w:val="22"/>
              </w:rPr>
            </w:pPr>
            <w:r>
              <w:rPr>
                <w:color w:val="2B2B2B"/>
                <w:spacing w:val="0"/>
                <w:w w:val="100"/>
                <w:position w:val="0"/>
                <w:sz w:val="22"/>
                <w:szCs w:val="22"/>
              </w:rPr>
              <w:t>外阴白斑</w:t>
            </w:r>
          </w:p>
        </w:tc>
      </w:tr>
      <w:tr>
        <w:tblPrEx>
          <w:tblCellMar>
            <w:top w:w="0" w:type="dxa"/>
            <w:left w:w="10" w:type="dxa"/>
            <w:bottom w:w="0" w:type="dxa"/>
            <w:right w:w="10" w:type="dxa"/>
          </w:tblCellMar>
        </w:tblPrEx>
        <w:trPr>
          <w:trHeight w:val="442" w:hRule="exact"/>
        </w:trPr>
        <w:tc>
          <w:tcPr>
            <w:tcBorders>
              <w:top w:val="single" w:color="auto" w:sz="4" w:space="0"/>
              <w:left w:val="single" w:color="auto" w:sz="4" w:space="0"/>
              <w:bottom w:val="single" w:color="auto" w:sz="4" w:space="0"/>
            </w:tcBorders>
            <w:shd w:val="clear" w:color="auto" w:fill="FFFFFF"/>
            <w:vAlign w:val="top"/>
          </w:tcPr>
          <w:p>
            <w:pPr>
              <w:pStyle w:val="19"/>
              <w:keepNext w:val="0"/>
              <w:keepLines w:val="0"/>
              <w:framePr w:w="4378" w:h="9638" w:wrap="auto" w:vAnchor="text" w:hAnchor="page" w:x="1572" w:y="2082"/>
              <w:widowControl w:val="0"/>
              <w:shd w:val="clear" w:color="auto" w:fill="auto"/>
              <w:bidi w:val="0"/>
              <w:spacing w:before="80" w:after="0" w:line="240" w:lineRule="auto"/>
              <w:ind w:left="0" w:right="0" w:firstLine="340"/>
              <w:jc w:val="left"/>
              <w:rPr>
                <w:sz w:val="22"/>
                <w:szCs w:val="22"/>
              </w:rPr>
            </w:pPr>
            <w:r>
              <w:rPr>
                <w:rFonts w:ascii="Times New Roman" w:hAnsi="Times New Roman" w:eastAsia="Times New Roman" w:cs="Times New Roman"/>
                <w:color w:val="2B2B2B"/>
                <w:spacing w:val="0"/>
                <w:w w:val="100"/>
                <w:position w:val="0"/>
                <w:sz w:val="22"/>
                <w:szCs w:val="22"/>
              </w:rPr>
              <w:t>21</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9"/>
              <w:keepNext w:val="0"/>
              <w:keepLines w:val="0"/>
              <w:framePr w:w="4378" w:h="9638" w:wrap="auto" w:vAnchor="text" w:hAnchor="page" w:x="1572" w:y="2082"/>
              <w:widowControl w:val="0"/>
              <w:shd w:val="clear" w:color="auto" w:fill="auto"/>
              <w:bidi w:val="0"/>
              <w:spacing w:before="80" w:after="0" w:line="240" w:lineRule="auto"/>
              <w:ind w:left="0" w:right="0" w:firstLine="0"/>
              <w:jc w:val="left"/>
              <w:rPr>
                <w:sz w:val="22"/>
                <w:szCs w:val="22"/>
              </w:rPr>
            </w:pPr>
            <w:r>
              <w:rPr>
                <w:color w:val="2B2B2B"/>
                <w:spacing w:val="0"/>
                <w:w w:val="100"/>
                <w:position w:val="0"/>
                <w:sz w:val="22"/>
                <w:szCs w:val="22"/>
              </w:rPr>
              <w:t>肾功能不全透析治疗</w:t>
            </w:r>
          </w:p>
        </w:tc>
      </w:tr>
    </w:tbl>
    <w:p>
      <w:pPr>
        <w:framePr w:w="4378" w:h="9638" w:wrap="auto" w:vAnchor="text" w:hAnchor="page" w:x="1572" w:y="2082"/>
        <w:widowControl w:val="0"/>
        <w:spacing w:line="1" w:lineRule="exact"/>
      </w:pPr>
    </w:p>
    <w:tbl>
      <w:tblPr>
        <w:tblStyle w:val="2"/>
        <w:tblW w:w="0" w:type="auto"/>
        <w:tblInd w:w="0" w:type="dxa"/>
        <w:tblLayout w:type="fixed"/>
        <w:tblCellMar>
          <w:top w:w="0" w:type="dxa"/>
          <w:left w:w="10" w:type="dxa"/>
          <w:bottom w:w="0" w:type="dxa"/>
          <w:right w:w="10" w:type="dxa"/>
        </w:tblCellMar>
      </w:tblPr>
      <w:tblGrid>
        <w:gridCol w:w="859"/>
        <w:gridCol w:w="3514"/>
      </w:tblGrid>
      <w:tr>
        <w:tblPrEx>
          <w:tblCellMar>
            <w:top w:w="0" w:type="dxa"/>
            <w:left w:w="10" w:type="dxa"/>
            <w:bottom w:w="0" w:type="dxa"/>
            <w:right w:w="10" w:type="dxa"/>
          </w:tblCellMar>
        </w:tblPrEx>
        <w:trPr>
          <w:trHeight w:val="446" w:hRule="exact"/>
        </w:trPr>
        <w:tc>
          <w:tcPr>
            <w:tcBorders>
              <w:top w:val="single" w:color="auto" w:sz="4" w:space="0"/>
              <w:left w:val="single" w:color="auto" w:sz="4" w:space="0"/>
            </w:tcBorders>
            <w:shd w:val="clear" w:color="auto" w:fill="FFFFFF"/>
            <w:vAlign w:val="bottom"/>
          </w:tcPr>
          <w:p>
            <w:pPr>
              <w:pStyle w:val="19"/>
              <w:keepNext w:val="0"/>
              <w:keepLines w:val="0"/>
              <w:framePr w:w="4373" w:h="9638" w:wrap="auto" w:vAnchor="text" w:hAnchor="page" w:x="5935" w:y="2082"/>
              <w:widowControl w:val="0"/>
              <w:shd w:val="clear" w:color="auto" w:fill="auto"/>
              <w:bidi w:val="0"/>
              <w:spacing w:before="0" w:after="0" w:line="240" w:lineRule="auto"/>
              <w:ind w:left="0" w:right="0" w:firstLine="0"/>
              <w:jc w:val="center"/>
              <w:rPr>
                <w:sz w:val="22"/>
                <w:szCs w:val="22"/>
              </w:rPr>
            </w:pPr>
            <w:r>
              <w:rPr>
                <w:color w:val="2B2B2B"/>
                <w:spacing w:val="0"/>
                <w:w w:val="100"/>
                <w:position w:val="0"/>
                <w:sz w:val="22"/>
                <w:szCs w:val="22"/>
              </w:rPr>
              <w:t>序号</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framePr w:w="4373" w:h="9638" w:wrap="auto" w:vAnchor="text" w:hAnchor="page" w:x="5935" w:y="2082"/>
              <w:widowControl w:val="0"/>
              <w:shd w:val="clear" w:color="auto" w:fill="auto"/>
              <w:bidi w:val="0"/>
              <w:spacing w:before="0" w:after="0" w:line="240" w:lineRule="auto"/>
              <w:ind w:left="1180" w:right="0" w:firstLine="0"/>
              <w:jc w:val="left"/>
              <w:rPr>
                <w:sz w:val="22"/>
                <w:szCs w:val="22"/>
              </w:rPr>
            </w:pPr>
            <w:r>
              <w:rPr>
                <w:color w:val="2B2B2B"/>
                <w:spacing w:val="0"/>
                <w:w w:val="100"/>
                <w:position w:val="0"/>
                <w:sz w:val="22"/>
                <w:szCs w:val="22"/>
              </w:rPr>
              <w:t>病种名称</w:t>
            </w:r>
          </w:p>
        </w:tc>
      </w:tr>
      <w:tr>
        <w:tblPrEx>
          <w:tblCellMar>
            <w:top w:w="0" w:type="dxa"/>
            <w:left w:w="10" w:type="dxa"/>
            <w:bottom w:w="0" w:type="dxa"/>
            <w:right w:w="10" w:type="dxa"/>
          </w:tblCellMar>
        </w:tblPrEx>
        <w:trPr>
          <w:trHeight w:val="437" w:hRule="exact"/>
        </w:trPr>
        <w:tc>
          <w:tcPr>
            <w:tcBorders>
              <w:top w:val="single" w:color="auto" w:sz="4" w:space="0"/>
              <w:left w:val="single" w:color="auto" w:sz="4" w:space="0"/>
            </w:tcBorders>
            <w:shd w:val="clear" w:color="auto" w:fill="FFFFFF"/>
            <w:vAlign w:val="top"/>
          </w:tcPr>
          <w:p>
            <w:pPr>
              <w:pStyle w:val="19"/>
              <w:keepNext w:val="0"/>
              <w:keepLines w:val="0"/>
              <w:framePr w:w="4373" w:h="9638" w:wrap="auto" w:vAnchor="text" w:hAnchor="page" w:x="5935" w:y="2082"/>
              <w:widowControl w:val="0"/>
              <w:shd w:val="clear" w:color="auto" w:fill="auto"/>
              <w:bidi w:val="0"/>
              <w:spacing w:before="80" w:after="0" w:line="240" w:lineRule="auto"/>
              <w:ind w:left="0" w:right="0" w:firstLine="320"/>
              <w:jc w:val="left"/>
              <w:rPr>
                <w:sz w:val="22"/>
                <w:szCs w:val="22"/>
              </w:rPr>
            </w:pPr>
            <w:r>
              <w:rPr>
                <w:rFonts w:ascii="Times New Roman" w:hAnsi="Times New Roman" w:eastAsia="Times New Roman" w:cs="Times New Roman"/>
                <w:color w:val="2B2B2B"/>
                <w:spacing w:val="0"/>
                <w:w w:val="100"/>
                <w:position w:val="0"/>
                <w:sz w:val="22"/>
                <w:szCs w:val="22"/>
              </w:rPr>
              <w:t>22</w:t>
            </w:r>
          </w:p>
        </w:tc>
        <w:tc>
          <w:tcPr>
            <w:tcBorders>
              <w:top w:val="single" w:color="auto" w:sz="4" w:space="0"/>
              <w:left w:val="single" w:color="auto" w:sz="4" w:space="0"/>
              <w:right w:val="single" w:color="auto" w:sz="4" w:space="0"/>
            </w:tcBorders>
            <w:shd w:val="clear" w:color="auto" w:fill="FFFFFF"/>
            <w:vAlign w:val="top"/>
          </w:tcPr>
          <w:p>
            <w:pPr>
              <w:pStyle w:val="19"/>
              <w:keepNext w:val="0"/>
              <w:keepLines w:val="0"/>
              <w:framePr w:w="4373" w:h="9638" w:wrap="auto" w:vAnchor="text" w:hAnchor="page" w:x="5935" w:y="2082"/>
              <w:widowControl w:val="0"/>
              <w:shd w:val="clear" w:color="auto" w:fill="auto"/>
              <w:bidi w:val="0"/>
              <w:spacing w:before="100" w:after="0" w:line="240" w:lineRule="auto"/>
              <w:ind w:left="0" w:right="0" w:firstLine="0"/>
              <w:jc w:val="left"/>
              <w:rPr>
                <w:sz w:val="22"/>
                <w:szCs w:val="22"/>
              </w:rPr>
            </w:pPr>
            <w:r>
              <w:rPr>
                <w:color w:val="2B2B2B"/>
                <w:spacing w:val="0"/>
                <w:w w:val="100"/>
                <w:position w:val="0"/>
                <w:sz w:val="22"/>
                <w:szCs w:val="22"/>
              </w:rPr>
              <w:t>肾病综合征</w:t>
            </w:r>
          </w:p>
        </w:tc>
      </w:tr>
      <w:tr>
        <w:tblPrEx>
          <w:tblCellMar>
            <w:top w:w="0" w:type="dxa"/>
            <w:left w:w="10" w:type="dxa"/>
            <w:bottom w:w="0" w:type="dxa"/>
            <w:right w:w="10" w:type="dxa"/>
          </w:tblCellMar>
        </w:tblPrEx>
        <w:trPr>
          <w:trHeight w:val="437" w:hRule="exact"/>
        </w:trPr>
        <w:tc>
          <w:tcPr>
            <w:tcBorders>
              <w:top w:val="single" w:color="auto" w:sz="4" w:space="0"/>
              <w:left w:val="single" w:color="auto" w:sz="4" w:space="0"/>
            </w:tcBorders>
            <w:shd w:val="clear" w:color="auto" w:fill="FFFFFF"/>
            <w:vAlign w:val="bottom"/>
          </w:tcPr>
          <w:p>
            <w:pPr>
              <w:pStyle w:val="19"/>
              <w:keepNext w:val="0"/>
              <w:keepLines w:val="0"/>
              <w:framePr w:w="4373" w:h="9638" w:wrap="auto" w:vAnchor="text" w:hAnchor="page" w:x="5935" w:y="2082"/>
              <w:widowControl w:val="0"/>
              <w:shd w:val="clear" w:color="auto" w:fill="auto"/>
              <w:bidi w:val="0"/>
              <w:spacing w:before="0" w:after="0" w:line="240" w:lineRule="auto"/>
              <w:ind w:left="0" w:right="0" w:firstLine="320"/>
              <w:jc w:val="left"/>
              <w:rPr>
                <w:sz w:val="22"/>
                <w:szCs w:val="22"/>
              </w:rPr>
            </w:pPr>
            <w:r>
              <w:rPr>
                <w:rFonts w:ascii="Times New Roman" w:hAnsi="Times New Roman" w:eastAsia="Times New Roman" w:cs="Times New Roman"/>
                <w:color w:val="2B2B2B"/>
                <w:spacing w:val="0"/>
                <w:w w:val="100"/>
                <w:position w:val="0"/>
                <w:sz w:val="22"/>
                <w:szCs w:val="22"/>
              </w:rPr>
              <w:t>23</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framePr w:w="4373" w:h="9638" w:wrap="auto" w:vAnchor="text" w:hAnchor="page" w:x="5935" w:y="2082"/>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血吸虫病</w:t>
            </w:r>
          </w:p>
        </w:tc>
      </w:tr>
      <w:tr>
        <w:tblPrEx>
          <w:tblCellMar>
            <w:top w:w="0" w:type="dxa"/>
            <w:left w:w="10" w:type="dxa"/>
            <w:bottom w:w="0" w:type="dxa"/>
            <w:right w:w="10" w:type="dxa"/>
          </w:tblCellMar>
        </w:tblPrEx>
        <w:trPr>
          <w:trHeight w:val="437" w:hRule="exact"/>
        </w:trPr>
        <w:tc>
          <w:tcPr>
            <w:tcBorders>
              <w:top w:val="single" w:color="auto" w:sz="4" w:space="0"/>
              <w:left w:val="single" w:color="auto" w:sz="4" w:space="0"/>
            </w:tcBorders>
            <w:shd w:val="clear" w:color="auto" w:fill="FFFFFF"/>
            <w:vAlign w:val="bottom"/>
          </w:tcPr>
          <w:p>
            <w:pPr>
              <w:pStyle w:val="19"/>
              <w:keepNext w:val="0"/>
              <w:keepLines w:val="0"/>
              <w:framePr w:w="4373" w:h="9638" w:wrap="auto" w:vAnchor="text" w:hAnchor="page" w:x="5935" w:y="2082"/>
              <w:widowControl w:val="0"/>
              <w:shd w:val="clear" w:color="auto" w:fill="auto"/>
              <w:bidi w:val="0"/>
              <w:spacing w:before="0" w:after="0" w:line="240" w:lineRule="auto"/>
              <w:ind w:left="0" w:right="0" w:firstLine="320"/>
              <w:jc w:val="left"/>
              <w:rPr>
                <w:sz w:val="22"/>
                <w:szCs w:val="22"/>
              </w:rPr>
            </w:pPr>
            <w:r>
              <w:rPr>
                <w:rFonts w:ascii="Times New Roman" w:hAnsi="Times New Roman" w:eastAsia="Times New Roman" w:cs="Times New Roman"/>
                <w:color w:val="2B2B2B"/>
                <w:spacing w:val="0"/>
                <w:w w:val="100"/>
                <w:position w:val="0"/>
                <w:sz w:val="22"/>
                <w:szCs w:val="22"/>
              </w:rPr>
              <w:t>24</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framePr w:w="4373" w:h="9638" w:wrap="auto" w:vAnchor="text" w:hAnchor="page" w:x="5935" w:y="2082"/>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克山病</w:t>
            </w:r>
          </w:p>
        </w:tc>
      </w:tr>
      <w:tr>
        <w:tblPrEx>
          <w:tblCellMar>
            <w:top w:w="0" w:type="dxa"/>
            <w:left w:w="10" w:type="dxa"/>
            <w:bottom w:w="0" w:type="dxa"/>
            <w:right w:w="10" w:type="dxa"/>
          </w:tblCellMar>
        </w:tblPrEx>
        <w:trPr>
          <w:trHeight w:val="437" w:hRule="exact"/>
        </w:trPr>
        <w:tc>
          <w:tcPr>
            <w:tcBorders>
              <w:top w:val="single" w:color="auto" w:sz="4" w:space="0"/>
              <w:left w:val="single" w:color="auto" w:sz="4" w:space="0"/>
            </w:tcBorders>
            <w:shd w:val="clear" w:color="auto" w:fill="FFFFFF"/>
            <w:vAlign w:val="bottom"/>
          </w:tcPr>
          <w:p>
            <w:pPr>
              <w:pStyle w:val="19"/>
              <w:keepNext w:val="0"/>
              <w:keepLines w:val="0"/>
              <w:framePr w:w="4373" w:h="9638" w:wrap="auto" w:vAnchor="text" w:hAnchor="page" w:x="5935" w:y="2082"/>
              <w:widowControl w:val="0"/>
              <w:shd w:val="clear" w:color="auto" w:fill="auto"/>
              <w:bidi w:val="0"/>
              <w:spacing w:before="0" w:after="0" w:line="240" w:lineRule="auto"/>
              <w:ind w:left="0" w:right="0" w:firstLine="320"/>
              <w:jc w:val="left"/>
              <w:rPr>
                <w:sz w:val="22"/>
                <w:szCs w:val="22"/>
              </w:rPr>
            </w:pPr>
            <w:r>
              <w:rPr>
                <w:rFonts w:ascii="Times New Roman" w:hAnsi="Times New Roman" w:eastAsia="Times New Roman" w:cs="Times New Roman"/>
                <w:color w:val="2B2B2B"/>
                <w:spacing w:val="0"/>
                <w:w w:val="100"/>
                <w:position w:val="0"/>
                <w:sz w:val="22"/>
                <w:szCs w:val="22"/>
              </w:rPr>
              <w:t>25</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framePr w:w="4373" w:h="9638" w:wrap="auto" w:vAnchor="text" w:hAnchor="page" w:x="5935" w:y="2082"/>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囊虫病</w:t>
            </w:r>
          </w:p>
        </w:tc>
      </w:tr>
      <w:tr>
        <w:tblPrEx>
          <w:tblCellMar>
            <w:top w:w="0" w:type="dxa"/>
            <w:left w:w="10" w:type="dxa"/>
            <w:bottom w:w="0" w:type="dxa"/>
            <w:right w:w="10" w:type="dxa"/>
          </w:tblCellMar>
        </w:tblPrEx>
        <w:trPr>
          <w:trHeight w:val="442" w:hRule="exact"/>
        </w:trPr>
        <w:tc>
          <w:tcPr>
            <w:tcBorders>
              <w:top w:val="single" w:color="auto" w:sz="4" w:space="0"/>
              <w:left w:val="single" w:color="auto" w:sz="4" w:space="0"/>
            </w:tcBorders>
            <w:shd w:val="clear" w:color="auto" w:fill="FFFFFF"/>
            <w:vAlign w:val="bottom"/>
          </w:tcPr>
          <w:p>
            <w:pPr>
              <w:pStyle w:val="19"/>
              <w:keepNext w:val="0"/>
              <w:keepLines w:val="0"/>
              <w:framePr w:w="4373" w:h="9638" w:wrap="auto" w:vAnchor="text" w:hAnchor="page" w:x="5935" w:y="2082"/>
              <w:widowControl w:val="0"/>
              <w:shd w:val="clear" w:color="auto" w:fill="auto"/>
              <w:bidi w:val="0"/>
              <w:spacing w:before="0" w:after="0" w:line="240" w:lineRule="auto"/>
              <w:ind w:left="0" w:right="0" w:firstLine="320"/>
              <w:jc w:val="left"/>
              <w:rPr>
                <w:sz w:val="22"/>
                <w:szCs w:val="22"/>
              </w:rPr>
            </w:pPr>
            <w:r>
              <w:rPr>
                <w:rFonts w:ascii="Times New Roman" w:hAnsi="Times New Roman" w:eastAsia="Times New Roman" w:cs="Times New Roman"/>
                <w:color w:val="2B2B2B"/>
                <w:spacing w:val="0"/>
                <w:w w:val="100"/>
                <w:position w:val="0"/>
                <w:sz w:val="22"/>
                <w:szCs w:val="22"/>
              </w:rPr>
              <w:t>26</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framePr w:w="4373" w:h="9638" w:wrap="auto" w:vAnchor="text" w:hAnchor="page" w:x="5935" w:y="2082"/>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大骨节病</w:t>
            </w:r>
          </w:p>
        </w:tc>
      </w:tr>
      <w:tr>
        <w:tblPrEx>
          <w:tblCellMar>
            <w:top w:w="0" w:type="dxa"/>
            <w:left w:w="10" w:type="dxa"/>
            <w:bottom w:w="0" w:type="dxa"/>
            <w:right w:w="10" w:type="dxa"/>
          </w:tblCellMar>
        </w:tblPrEx>
        <w:trPr>
          <w:trHeight w:val="437" w:hRule="exact"/>
        </w:trPr>
        <w:tc>
          <w:tcPr>
            <w:tcBorders>
              <w:top w:val="single" w:color="auto" w:sz="4" w:space="0"/>
              <w:left w:val="single" w:color="auto" w:sz="4" w:space="0"/>
            </w:tcBorders>
            <w:shd w:val="clear" w:color="auto" w:fill="FFFFFF"/>
            <w:vAlign w:val="top"/>
          </w:tcPr>
          <w:p>
            <w:pPr>
              <w:pStyle w:val="19"/>
              <w:keepNext w:val="0"/>
              <w:keepLines w:val="0"/>
              <w:framePr w:w="4373" w:h="9638" w:wrap="auto" w:vAnchor="text" w:hAnchor="page" w:x="5935" w:y="2082"/>
              <w:widowControl w:val="0"/>
              <w:shd w:val="clear" w:color="auto" w:fill="auto"/>
              <w:bidi w:val="0"/>
              <w:spacing w:before="80" w:after="0" w:line="240" w:lineRule="auto"/>
              <w:ind w:left="0" w:right="0" w:firstLine="320"/>
              <w:jc w:val="left"/>
              <w:rPr>
                <w:sz w:val="22"/>
                <w:szCs w:val="22"/>
              </w:rPr>
            </w:pPr>
            <w:r>
              <w:rPr>
                <w:rFonts w:ascii="Times New Roman" w:hAnsi="Times New Roman" w:eastAsia="Times New Roman" w:cs="Times New Roman"/>
                <w:color w:val="2B2B2B"/>
                <w:spacing w:val="0"/>
                <w:w w:val="100"/>
                <w:position w:val="0"/>
                <w:sz w:val="22"/>
                <w:szCs w:val="22"/>
              </w:rPr>
              <w:t>27</w:t>
            </w:r>
          </w:p>
        </w:tc>
        <w:tc>
          <w:tcPr>
            <w:tcBorders>
              <w:top w:val="single" w:color="auto" w:sz="4" w:space="0"/>
              <w:left w:val="single" w:color="auto" w:sz="4" w:space="0"/>
              <w:right w:val="single" w:color="auto" w:sz="4" w:space="0"/>
            </w:tcBorders>
            <w:shd w:val="clear" w:color="auto" w:fill="FFFFFF"/>
            <w:vAlign w:val="top"/>
          </w:tcPr>
          <w:p>
            <w:pPr>
              <w:pStyle w:val="19"/>
              <w:keepNext w:val="0"/>
              <w:keepLines w:val="0"/>
              <w:framePr w:w="4373" w:h="9638" w:wrap="auto" w:vAnchor="text" w:hAnchor="page" w:x="5935" w:y="2082"/>
              <w:widowControl w:val="0"/>
              <w:shd w:val="clear" w:color="auto" w:fill="auto"/>
              <w:bidi w:val="0"/>
              <w:spacing w:before="80" w:after="0" w:line="240" w:lineRule="auto"/>
              <w:ind w:left="0" w:right="0" w:firstLine="0"/>
              <w:jc w:val="left"/>
              <w:rPr>
                <w:sz w:val="22"/>
                <w:szCs w:val="22"/>
              </w:rPr>
            </w:pPr>
            <w:r>
              <w:rPr>
                <w:color w:val="2B2B2B"/>
                <w:spacing w:val="0"/>
                <w:w w:val="100"/>
                <w:position w:val="0"/>
                <w:sz w:val="22"/>
                <w:szCs w:val="22"/>
              </w:rPr>
              <w:t>再生障碍性贫血</w:t>
            </w:r>
          </w:p>
        </w:tc>
      </w:tr>
      <w:tr>
        <w:tblPrEx>
          <w:tblCellMar>
            <w:top w:w="0" w:type="dxa"/>
            <w:left w:w="10" w:type="dxa"/>
            <w:bottom w:w="0" w:type="dxa"/>
            <w:right w:w="10" w:type="dxa"/>
          </w:tblCellMar>
        </w:tblPrEx>
        <w:trPr>
          <w:trHeight w:val="437" w:hRule="exact"/>
        </w:trPr>
        <w:tc>
          <w:tcPr>
            <w:tcBorders>
              <w:top w:val="single" w:color="auto" w:sz="4" w:space="0"/>
              <w:left w:val="single" w:color="auto" w:sz="4" w:space="0"/>
            </w:tcBorders>
            <w:shd w:val="clear" w:color="auto" w:fill="FFFFFF"/>
            <w:vAlign w:val="top"/>
          </w:tcPr>
          <w:p>
            <w:pPr>
              <w:pStyle w:val="19"/>
              <w:keepNext w:val="0"/>
              <w:keepLines w:val="0"/>
              <w:framePr w:w="4373" w:h="9638" w:wrap="auto" w:vAnchor="text" w:hAnchor="page" w:x="5935" w:y="2082"/>
              <w:widowControl w:val="0"/>
              <w:shd w:val="clear" w:color="auto" w:fill="auto"/>
              <w:bidi w:val="0"/>
              <w:spacing w:before="80" w:after="0" w:line="240" w:lineRule="auto"/>
              <w:ind w:left="0" w:right="0" w:firstLine="320"/>
              <w:jc w:val="left"/>
              <w:rPr>
                <w:sz w:val="22"/>
                <w:szCs w:val="22"/>
              </w:rPr>
            </w:pPr>
            <w:r>
              <w:rPr>
                <w:rFonts w:ascii="Times New Roman" w:hAnsi="Times New Roman" w:eastAsia="Times New Roman" w:cs="Times New Roman"/>
                <w:color w:val="2B2B2B"/>
                <w:spacing w:val="0"/>
                <w:w w:val="100"/>
                <w:position w:val="0"/>
                <w:sz w:val="22"/>
                <w:szCs w:val="22"/>
              </w:rPr>
              <w:t>28</w:t>
            </w:r>
          </w:p>
        </w:tc>
        <w:tc>
          <w:tcPr>
            <w:tcBorders>
              <w:top w:val="single" w:color="auto" w:sz="4" w:space="0"/>
              <w:left w:val="single" w:color="auto" w:sz="4" w:space="0"/>
              <w:right w:val="single" w:color="auto" w:sz="4" w:space="0"/>
            </w:tcBorders>
            <w:shd w:val="clear" w:color="auto" w:fill="FFFFFF"/>
            <w:vAlign w:val="top"/>
          </w:tcPr>
          <w:p>
            <w:pPr>
              <w:pStyle w:val="19"/>
              <w:keepNext w:val="0"/>
              <w:keepLines w:val="0"/>
              <w:framePr w:w="4373" w:h="9638" w:wrap="auto" w:vAnchor="text" w:hAnchor="page" w:x="5935" w:y="2082"/>
              <w:widowControl w:val="0"/>
              <w:shd w:val="clear" w:color="auto" w:fill="auto"/>
              <w:bidi w:val="0"/>
              <w:spacing w:before="100" w:after="0" w:line="240" w:lineRule="auto"/>
              <w:ind w:left="0" w:right="0" w:firstLine="0"/>
              <w:jc w:val="left"/>
              <w:rPr>
                <w:sz w:val="22"/>
                <w:szCs w:val="22"/>
              </w:rPr>
            </w:pPr>
            <w:r>
              <w:rPr>
                <w:color w:val="2B2B2B"/>
                <w:spacing w:val="0"/>
                <w:w w:val="100"/>
                <w:position w:val="0"/>
                <w:sz w:val="22"/>
                <w:szCs w:val="22"/>
              </w:rPr>
              <w:t>••布鲁氏菌病</w:t>
            </w:r>
          </w:p>
        </w:tc>
      </w:tr>
      <w:tr>
        <w:tblPrEx>
          <w:tblCellMar>
            <w:top w:w="0" w:type="dxa"/>
            <w:left w:w="10" w:type="dxa"/>
            <w:bottom w:w="0" w:type="dxa"/>
            <w:right w:w="10" w:type="dxa"/>
          </w:tblCellMar>
        </w:tblPrEx>
        <w:trPr>
          <w:trHeight w:val="437" w:hRule="exact"/>
        </w:trPr>
        <w:tc>
          <w:tcPr>
            <w:tcBorders>
              <w:top w:val="single" w:color="auto" w:sz="4" w:space="0"/>
              <w:left w:val="single" w:color="auto" w:sz="4" w:space="0"/>
            </w:tcBorders>
            <w:shd w:val="clear" w:color="auto" w:fill="FFFFFF"/>
            <w:vAlign w:val="center"/>
          </w:tcPr>
          <w:p>
            <w:pPr>
              <w:pStyle w:val="19"/>
              <w:keepNext w:val="0"/>
              <w:keepLines w:val="0"/>
              <w:framePr w:w="4373" w:h="9638" w:wrap="auto" w:vAnchor="text" w:hAnchor="page" w:x="5935" w:y="2082"/>
              <w:widowControl w:val="0"/>
              <w:shd w:val="clear" w:color="auto" w:fill="auto"/>
              <w:bidi w:val="0"/>
              <w:spacing w:before="0" w:after="0" w:line="240" w:lineRule="auto"/>
              <w:ind w:left="0" w:right="0" w:firstLine="320"/>
              <w:jc w:val="left"/>
              <w:rPr>
                <w:sz w:val="22"/>
                <w:szCs w:val="22"/>
              </w:rPr>
            </w:pPr>
            <w:r>
              <w:rPr>
                <w:rFonts w:ascii="Times New Roman" w:hAnsi="Times New Roman" w:eastAsia="Times New Roman" w:cs="Times New Roman"/>
                <w:color w:val="2B2B2B"/>
                <w:spacing w:val="0"/>
                <w:w w:val="100"/>
                <w:position w:val="0"/>
                <w:sz w:val="22"/>
                <w:szCs w:val="22"/>
              </w:rPr>
              <w:t>29</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framePr w:w="4373" w:h="9638" w:wrap="auto" w:vAnchor="text" w:hAnchor="page" w:x="5935" w:y="2082"/>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手足口病</w:t>
            </w:r>
          </w:p>
        </w:tc>
      </w:tr>
      <w:tr>
        <w:tblPrEx>
          <w:tblCellMar>
            <w:top w:w="0" w:type="dxa"/>
            <w:left w:w="10" w:type="dxa"/>
            <w:bottom w:w="0" w:type="dxa"/>
            <w:right w:w="10" w:type="dxa"/>
          </w:tblCellMar>
        </w:tblPrEx>
        <w:trPr>
          <w:trHeight w:val="437" w:hRule="exact"/>
        </w:trPr>
        <w:tc>
          <w:tcPr>
            <w:tcBorders>
              <w:top w:val="single" w:color="auto" w:sz="4" w:space="0"/>
              <w:left w:val="single" w:color="auto" w:sz="4" w:space="0"/>
            </w:tcBorders>
            <w:shd w:val="clear" w:color="auto" w:fill="FFFFFF"/>
            <w:vAlign w:val="bottom"/>
          </w:tcPr>
          <w:p>
            <w:pPr>
              <w:pStyle w:val="19"/>
              <w:keepNext w:val="0"/>
              <w:keepLines w:val="0"/>
              <w:framePr w:w="4373" w:h="9638" w:wrap="auto" w:vAnchor="text" w:hAnchor="page" w:x="5935" w:y="2082"/>
              <w:widowControl w:val="0"/>
              <w:shd w:val="clear" w:color="auto" w:fill="auto"/>
              <w:bidi w:val="0"/>
              <w:spacing w:before="0" w:after="0" w:line="240" w:lineRule="auto"/>
              <w:ind w:left="0" w:right="0" w:firstLine="320"/>
              <w:jc w:val="left"/>
              <w:rPr>
                <w:sz w:val="22"/>
                <w:szCs w:val="22"/>
              </w:rPr>
            </w:pPr>
            <w:r>
              <w:rPr>
                <w:rFonts w:ascii="Times New Roman" w:hAnsi="Times New Roman" w:eastAsia="Times New Roman" w:cs="Times New Roman"/>
                <w:color w:val="2B2B2B"/>
                <w:spacing w:val="0"/>
                <w:w w:val="100"/>
                <w:position w:val="0"/>
                <w:sz w:val="22"/>
                <w:szCs w:val="22"/>
              </w:rPr>
              <w:t>30</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framePr w:w="4373" w:h="9638" w:wrap="auto" w:vAnchor="text" w:hAnchor="page" w:x="5935" w:y="2082"/>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帕金森病</w:t>
            </w:r>
          </w:p>
        </w:tc>
      </w:tr>
      <w:tr>
        <w:tblPrEx>
          <w:tblCellMar>
            <w:top w:w="0" w:type="dxa"/>
            <w:left w:w="10" w:type="dxa"/>
            <w:bottom w:w="0" w:type="dxa"/>
            <w:right w:w="10" w:type="dxa"/>
          </w:tblCellMar>
        </w:tblPrEx>
        <w:trPr>
          <w:trHeight w:val="437" w:hRule="exact"/>
        </w:trPr>
        <w:tc>
          <w:tcPr>
            <w:tcBorders>
              <w:top w:val="single" w:color="auto" w:sz="4" w:space="0"/>
              <w:left w:val="single" w:color="auto" w:sz="4" w:space="0"/>
            </w:tcBorders>
            <w:shd w:val="clear" w:color="auto" w:fill="FFFFFF"/>
            <w:vAlign w:val="top"/>
          </w:tcPr>
          <w:p>
            <w:pPr>
              <w:pStyle w:val="19"/>
              <w:keepNext w:val="0"/>
              <w:keepLines w:val="0"/>
              <w:framePr w:w="4373" w:h="9638" w:wrap="auto" w:vAnchor="text" w:hAnchor="page" w:x="5935" w:y="2082"/>
              <w:widowControl w:val="0"/>
              <w:shd w:val="clear" w:color="auto" w:fill="auto"/>
              <w:bidi w:val="0"/>
              <w:spacing w:before="80" w:after="0" w:line="240" w:lineRule="auto"/>
              <w:ind w:left="0" w:right="0" w:firstLine="320"/>
              <w:jc w:val="left"/>
              <w:rPr>
                <w:sz w:val="22"/>
                <w:szCs w:val="22"/>
              </w:rPr>
            </w:pPr>
            <w:r>
              <w:rPr>
                <w:rFonts w:ascii="Times New Roman" w:hAnsi="Times New Roman" w:eastAsia="Times New Roman" w:cs="Times New Roman"/>
                <w:color w:val="2B2B2B"/>
                <w:spacing w:val="0"/>
                <w:w w:val="100"/>
                <w:position w:val="0"/>
                <w:sz w:val="22"/>
                <w:szCs w:val="22"/>
              </w:rPr>
              <w:t>31</w:t>
            </w:r>
          </w:p>
        </w:tc>
        <w:tc>
          <w:tcPr>
            <w:tcBorders>
              <w:top w:val="single" w:color="auto" w:sz="4" w:space="0"/>
              <w:left w:val="single" w:color="auto" w:sz="4" w:space="0"/>
              <w:right w:val="single" w:color="auto" w:sz="4" w:space="0"/>
            </w:tcBorders>
            <w:shd w:val="clear" w:color="auto" w:fill="FFFFFF"/>
            <w:vAlign w:val="top"/>
          </w:tcPr>
          <w:p>
            <w:pPr>
              <w:pStyle w:val="19"/>
              <w:keepNext w:val="0"/>
              <w:keepLines w:val="0"/>
              <w:framePr w:w="4373" w:h="9638" w:wrap="auto" w:vAnchor="text" w:hAnchor="page" w:x="5935" w:y="2082"/>
              <w:widowControl w:val="0"/>
              <w:shd w:val="clear" w:color="auto" w:fill="auto"/>
              <w:bidi w:val="0"/>
              <w:spacing w:before="80" w:after="0" w:line="240" w:lineRule="auto"/>
              <w:ind w:left="0" w:right="0" w:firstLine="0"/>
              <w:jc w:val="left"/>
              <w:rPr>
                <w:sz w:val="22"/>
                <w:szCs w:val="22"/>
              </w:rPr>
            </w:pPr>
            <w:r>
              <w:rPr>
                <w:color w:val="2B2B2B"/>
                <w:spacing w:val="0"/>
                <w:w w:val="100"/>
                <w:position w:val="0"/>
                <w:sz w:val="22"/>
                <w:szCs w:val="22"/>
              </w:rPr>
              <w:t>:癫痫</w:t>
            </w:r>
          </w:p>
        </w:tc>
      </w:tr>
      <w:tr>
        <w:tblPrEx>
          <w:tblCellMar>
            <w:top w:w="0" w:type="dxa"/>
            <w:left w:w="10" w:type="dxa"/>
            <w:bottom w:w="0" w:type="dxa"/>
            <w:right w:w="10" w:type="dxa"/>
          </w:tblCellMar>
        </w:tblPrEx>
        <w:trPr>
          <w:trHeight w:val="437" w:hRule="exact"/>
        </w:trPr>
        <w:tc>
          <w:tcPr>
            <w:tcBorders>
              <w:top w:val="single" w:color="auto" w:sz="4" w:space="0"/>
              <w:left w:val="single" w:color="auto" w:sz="4" w:space="0"/>
            </w:tcBorders>
            <w:shd w:val="clear" w:color="auto" w:fill="FFFFFF"/>
            <w:vAlign w:val="bottom"/>
          </w:tcPr>
          <w:p>
            <w:pPr>
              <w:pStyle w:val="19"/>
              <w:keepNext w:val="0"/>
              <w:keepLines w:val="0"/>
              <w:framePr w:w="4373" w:h="9638" w:wrap="auto" w:vAnchor="text" w:hAnchor="page" w:x="5935" w:y="2082"/>
              <w:widowControl w:val="0"/>
              <w:shd w:val="clear" w:color="auto" w:fill="auto"/>
              <w:bidi w:val="0"/>
              <w:spacing w:before="0" w:after="0" w:line="240" w:lineRule="auto"/>
              <w:ind w:left="0" w:right="0" w:firstLine="320"/>
              <w:jc w:val="left"/>
              <w:rPr>
                <w:sz w:val="22"/>
                <w:szCs w:val="22"/>
              </w:rPr>
            </w:pPr>
            <w:r>
              <w:rPr>
                <w:rFonts w:ascii="Times New Roman" w:hAnsi="Times New Roman" w:eastAsia="Times New Roman" w:cs="Times New Roman"/>
                <w:color w:val="2B2B2B"/>
                <w:spacing w:val="0"/>
                <w:w w:val="100"/>
                <w:position w:val="0"/>
                <w:sz w:val="22"/>
                <w:szCs w:val="22"/>
              </w:rPr>
              <w:t>32</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framePr w:w="4373" w:h="9638" w:wrap="auto" w:vAnchor="text" w:hAnchor="page" w:x="5935" w:y="2082"/>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风湿（类风湿）性关节炎</w:t>
            </w:r>
          </w:p>
        </w:tc>
      </w:tr>
      <w:tr>
        <w:tblPrEx>
          <w:tblCellMar>
            <w:top w:w="0" w:type="dxa"/>
            <w:left w:w="10" w:type="dxa"/>
            <w:bottom w:w="0" w:type="dxa"/>
            <w:right w:w="10" w:type="dxa"/>
          </w:tblCellMar>
        </w:tblPrEx>
        <w:trPr>
          <w:trHeight w:val="442" w:hRule="exact"/>
        </w:trPr>
        <w:tc>
          <w:tcPr>
            <w:tcBorders>
              <w:top w:val="single" w:color="auto" w:sz="4" w:space="0"/>
              <w:left w:val="single" w:color="auto" w:sz="4" w:space="0"/>
            </w:tcBorders>
            <w:shd w:val="clear" w:color="auto" w:fill="FFFFFF"/>
            <w:vAlign w:val="top"/>
          </w:tcPr>
          <w:p>
            <w:pPr>
              <w:pStyle w:val="19"/>
              <w:keepNext w:val="0"/>
              <w:keepLines w:val="0"/>
              <w:framePr w:w="4373" w:h="9638" w:wrap="auto" w:vAnchor="text" w:hAnchor="page" w:x="5935" w:y="2082"/>
              <w:widowControl w:val="0"/>
              <w:shd w:val="clear" w:color="auto" w:fill="auto"/>
              <w:bidi w:val="0"/>
              <w:spacing w:before="80" w:after="0" w:line="240" w:lineRule="auto"/>
              <w:ind w:left="0" w:right="0" w:firstLine="320"/>
              <w:jc w:val="left"/>
              <w:rPr>
                <w:sz w:val="22"/>
                <w:szCs w:val="22"/>
              </w:rPr>
            </w:pPr>
            <w:r>
              <w:rPr>
                <w:rFonts w:ascii="Times New Roman" w:hAnsi="Times New Roman" w:eastAsia="Times New Roman" w:cs="Times New Roman"/>
                <w:color w:val="2B2B2B"/>
                <w:spacing w:val="0"/>
                <w:w w:val="100"/>
                <w:position w:val="0"/>
                <w:sz w:val="22"/>
                <w:szCs w:val="22"/>
              </w:rPr>
              <w:t>33</w:t>
            </w:r>
          </w:p>
        </w:tc>
        <w:tc>
          <w:tcPr>
            <w:tcBorders>
              <w:top w:val="single" w:color="auto" w:sz="4" w:space="0"/>
              <w:left w:val="single" w:color="auto" w:sz="4" w:space="0"/>
              <w:right w:val="single" w:color="auto" w:sz="4" w:space="0"/>
            </w:tcBorders>
            <w:shd w:val="clear" w:color="auto" w:fill="FFFFFF"/>
            <w:vAlign w:val="top"/>
          </w:tcPr>
          <w:p>
            <w:pPr>
              <w:pStyle w:val="19"/>
              <w:keepNext w:val="0"/>
              <w:keepLines w:val="0"/>
              <w:framePr w:w="4373" w:h="9638" w:wrap="auto" w:vAnchor="text" w:hAnchor="page" w:x="5935" w:y="2082"/>
              <w:widowControl w:val="0"/>
              <w:shd w:val="clear" w:color="auto" w:fill="auto"/>
              <w:bidi w:val="0"/>
              <w:spacing w:before="80" w:after="0" w:line="240" w:lineRule="auto"/>
              <w:ind w:left="0" w:right="0" w:firstLine="0"/>
              <w:jc w:val="left"/>
              <w:rPr>
                <w:sz w:val="22"/>
                <w:szCs w:val="22"/>
              </w:rPr>
            </w:pPr>
            <w:r>
              <w:rPr>
                <w:color w:val="2B2B2B"/>
                <w:spacing w:val="0"/>
                <w:w w:val="100"/>
                <w:position w:val="0"/>
                <w:sz w:val="22"/>
                <w:szCs w:val="22"/>
              </w:rPr>
              <w:t>重症精神病</w:t>
            </w:r>
          </w:p>
        </w:tc>
      </w:tr>
      <w:tr>
        <w:tblPrEx>
          <w:tblCellMar>
            <w:top w:w="0" w:type="dxa"/>
            <w:left w:w="10" w:type="dxa"/>
            <w:bottom w:w="0" w:type="dxa"/>
            <w:right w:w="10" w:type="dxa"/>
          </w:tblCellMar>
        </w:tblPrEx>
        <w:trPr>
          <w:trHeight w:val="437" w:hRule="exact"/>
        </w:trPr>
        <w:tc>
          <w:tcPr>
            <w:tcBorders>
              <w:top w:val="single" w:color="auto" w:sz="4" w:space="0"/>
              <w:left w:val="single" w:color="auto" w:sz="4" w:space="0"/>
            </w:tcBorders>
            <w:shd w:val="clear" w:color="auto" w:fill="FFFFFF"/>
            <w:vAlign w:val="top"/>
          </w:tcPr>
          <w:p>
            <w:pPr>
              <w:pStyle w:val="19"/>
              <w:keepNext w:val="0"/>
              <w:keepLines w:val="0"/>
              <w:framePr w:w="4373" w:h="9638" w:wrap="auto" w:vAnchor="text" w:hAnchor="page" w:x="5935" w:y="2082"/>
              <w:widowControl w:val="0"/>
              <w:shd w:val="clear" w:color="auto" w:fill="auto"/>
              <w:bidi w:val="0"/>
              <w:spacing w:before="80" w:after="0" w:line="240" w:lineRule="auto"/>
              <w:ind w:left="0" w:right="0" w:firstLine="320"/>
              <w:jc w:val="left"/>
              <w:rPr>
                <w:sz w:val="22"/>
                <w:szCs w:val="22"/>
              </w:rPr>
            </w:pPr>
            <w:r>
              <w:rPr>
                <w:rFonts w:ascii="Times New Roman" w:hAnsi="Times New Roman" w:eastAsia="Times New Roman" w:cs="Times New Roman"/>
                <w:color w:val="2B2B2B"/>
                <w:spacing w:val="0"/>
                <w:w w:val="100"/>
                <w:position w:val="0"/>
                <w:sz w:val="22"/>
                <w:szCs w:val="22"/>
              </w:rPr>
              <w:t>34</w:t>
            </w:r>
          </w:p>
        </w:tc>
        <w:tc>
          <w:tcPr>
            <w:tcBorders>
              <w:top w:val="single" w:color="auto" w:sz="4" w:space="0"/>
              <w:left w:val="single" w:color="auto" w:sz="4" w:space="0"/>
              <w:right w:val="single" w:color="auto" w:sz="4" w:space="0"/>
            </w:tcBorders>
            <w:shd w:val="clear" w:color="auto" w:fill="FFFFFF"/>
            <w:vAlign w:val="top"/>
          </w:tcPr>
          <w:p>
            <w:pPr>
              <w:pStyle w:val="19"/>
              <w:keepNext w:val="0"/>
              <w:keepLines w:val="0"/>
              <w:framePr w:w="4373" w:h="9638" w:wrap="auto" w:vAnchor="text" w:hAnchor="page" w:x="5935" w:y="2082"/>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强直性脊柱炎</w:t>
            </w:r>
          </w:p>
        </w:tc>
      </w:tr>
      <w:tr>
        <w:tblPrEx>
          <w:tblCellMar>
            <w:top w:w="0" w:type="dxa"/>
            <w:left w:w="10" w:type="dxa"/>
            <w:bottom w:w="0" w:type="dxa"/>
            <w:right w:w="10" w:type="dxa"/>
          </w:tblCellMar>
        </w:tblPrEx>
        <w:trPr>
          <w:trHeight w:val="437" w:hRule="exact"/>
        </w:trPr>
        <w:tc>
          <w:tcPr>
            <w:tcBorders>
              <w:top w:val="single" w:color="auto" w:sz="4" w:space="0"/>
              <w:left w:val="single" w:color="auto" w:sz="4" w:space="0"/>
            </w:tcBorders>
            <w:shd w:val="clear" w:color="auto" w:fill="FFFFFF"/>
            <w:vAlign w:val="top"/>
          </w:tcPr>
          <w:p>
            <w:pPr>
              <w:pStyle w:val="19"/>
              <w:keepNext w:val="0"/>
              <w:keepLines w:val="0"/>
              <w:framePr w:w="4373" w:h="9638" w:wrap="auto" w:vAnchor="text" w:hAnchor="page" w:x="5935" w:y="2082"/>
              <w:widowControl w:val="0"/>
              <w:shd w:val="clear" w:color="auto" w:fill="auto"/>
              <w:bidi w:val="0"/>
              <w:spacing w:before="80" w:after="0" w:line="240" w:lineRule="auto"/>
              <w:ind w:left="0" w:right="0" w:firstLine="320"/>
              <w:jc w:val="left"/>
              <w:rPr>
                <w:sz w:val="22"/>
                <w:szCs w:val="22"/>
              </w:rPr>
            </w:pPr>
            <w:r>
              <w:rPr>
                <w:rFonts w:ascii="Times New Roman" w:hAnsi="Times New Roman" w:eastAsia="Times New Roman" w:cs="Times New Roman"/>
                <w:color w:val="2B2B2B"/>
                <w:spacing w:val="0"/>
                <w:w w:val="100"/>
                <w:position w:val="0"/>
                <w:sz w:val="22"/>
                <w:szCs w:val="22"/>
              </w:rPr>
              <w:t>35</w:t>
            </w:r>
          </w:p>
        </w:tc>
        <w:tc>
          <w:tcPr>
            <w:tcBorders>
              <w:top w:val="single" w:color="auto" w:sz="4" w:space="0"/>
              <w:left w:val="single" w:color="auto" w:sz="4" w:space="0"/>
              <w:right w:val="single" w:color="auto" w:sz="4" w:space="0"/>
            </w:tcBorders>
            <w:shd w:val="clear" w:color="auto" w:fill="FFFFFF"/>
            <w:vAlign w:val="top"/>
          </w:tcPr>
          <w:p>
            <w:pPr>
              <w:pStyle w:val="19"/>
              <w:keepNext w:val="0"/>
              <w:keepLines w:val="0"/>
              <w:framePr w:w="4373" w:h="9638" w:wrap="auto" w:vAnchor="text" w:hAnchor="page" w:x="5935" w:y="2082"/>
              <w:widowControl w:val="0"/>
              <w:shd w:val="clear" w:color="auto" w:fill="auto"/>
              <w:bidi w:val="0"/>
              <w:spacing w:before="80" w:after="0" w:line="240" w:lineRule="auto"/>
              <w:ind w:left="0" w:right="0" w:firstLine="0"/>
              <w:jc w:val="left"/>
              <w:rPr>
                <w:sz w:val="22"/>
                <w:szCs w:val="22"/>
              </w:rPr>
            </w:pPr>
            <w:r>
              <w:rPr>
                <w:color w:val="2B2B2B"/>
                <w:spacing w:val="0"/>
                <w:w w:val="100"/>
                <w:position w:val="0"/>
                <w:sz w:val="22"/>
                <w:szCs w:val="22"/>
              </w:rPr>
              <w:t>银屑病</w:t>
            </w:r>
          </w:p>
        </w:tc>
      </w:tr>
      <w:tr>
        <w:tblPrEx>
          <w:tblCellMar>
            <w:top w:w="0" w:type="dxa"/>
            <w:left w:w="10" w:type="dxa"/>
            <w:bottom w:w="0" w:type="dxa"/>
            <w:right w:w="10" w:type="dxa"/>
          </w:tblCellMar>
        </w:tblPrEx>
        <w:trPr>
          <w:trHeight w:val="437" w:hRule="exact"/>
        </w:trPr>
        <w:tc>
          <w:tcPr>
            <w:tcBorders>
              <w:top w:val="single" w:color="auto" w:sz="4" w:space="0"/>
              <w:left w:val="single" w:color="auto" w:sz="4" w:space="0"/>
            </w:tcBorders>
            <w:shd w:val="clear" w:color="auto" w:fill="FFFFFF"/>
            <w:vAlign w:val="bottom"/>
          </w:tcPr>
          <w:p>
            <w:pPr>
              <w:pStyle w:val="19"/>
              <w:keepNext w:val="0"/>
              <w:keepLines w:val="0"/>
              <w:framePr w:w="4373" w:h="9638" w:wrap="auto" w:vAnchor="text" w:hAnchor="page" w:x="5935" w:y="2082"/>
              <w:widowControl w:val="0"/>
              <w:shd w:val="clear" w:color="auto" w:fill="auto"/>
              <w:bidi w:val="0"/>
              <w:spacing w:before="0" w:after="0" w:line="240" w:lineRule="auto"/>
              <w:ind w:left="0" w:right="0" w:firstLine="320"/>
              <w:jc w:val="left"/>
              <w:rPr>
                <w:sz w:val="22"/>
                <w:szCs w:val="22"/>
              </w:rPr>
            </w:pPr>
            <w:r>
              <w:rPr>
                <w:rFonts w:ascii="Times New Roman" w:hAnsi="Times New Roman" w:eastAsia="Times New Roman" w:cs="Times New Roman"/>
                <w:color w:val="2B2B2B"/>
                <w:spacing w:val="0"/>
                <w:w w:val="100"/>
                <w:position w:val="0"/>
                <w:sz w:val="22"/>
                <w:szCs w:val="22"/>
              </w:rPr>
              <w:t>36</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framePr w:w="4373" w:h="9638" w:wrap="auto" w:vAnchor="text" w:hAnchor="page" w:x="5935" w:y="2082"/>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结肠（直肠）息肉内镜治疗</w:t>
            </w:r>
          </w:p>
        </w:tc>
      </w:tr>
      <w:tr>
        <w:tblPrEx>
          <w:tblCellMar>
            <w:top w:w="0" w:type="dxa"/>
            <w:left w:w="10" w:type="dxa"/>
            <w:bottom w:w="0" w:type="dxa"/>
            <w:right w:w="10" w:type="dxa"/>
          </w:tblCellMar>
        </w:tblPrEx>
        <w:trPr>
          <w:trHeight w:val="437" w:hRule="exact"/>
        </w:trPr>
        <w:tc>
          <w:tcPr>
            <w:tcBorders>
              <w:top w:val="single" w:color="auto" w:sz="4" w:space="0"/>
              <w:left w:val="single" w:color="auto" w:sz="4" w:space="0"/>
            </w:tcBorders>
            <w:shd w:val="clear" w:color="auto" w:fill="FFFFFF"/>
            <w:vAlign w:val="bottom"/>
          </w:tcPr>
          <w:p>
            <w:pPr>
              <w:pStyle w:val="19"/>
              <w:keepNext w:val="0"/>
              <w:keepLines w:val="0"/>
              <w:framePr w:w="4373" w:h="9638" w:wrap="auto" w:vAnchor="text" w:hAnchor="page" w:x="5935" w:y="2082"/>
              <w:widowControl w:val="0"/>
              <w:shd w:val="clear" w:color="auto" w:fill="auto"/>
              <w:bidi w:val="0"/>
              <w:spacing w:before="0" w:after="0" w:line="240" w:lineRule="auto"/>
              <w:ind w:left="0" w:right="0" w:firstLine="320"/>
              <w:jc w:val="left"/>
              <w:rPr>
                <w:sz w:val="22"/>
                <w:szCs w:val="22"/>
              </w:rPr>
            </w:pPr>
            <w:r>
              <w:rPr>
                <w:rFonts w:ascii="Times New Roman" w:hAnsi="Times New Roman" w:eastAsia="Times New Roman" w:cs="Times New Roman"/>
                <w:color w:val="2B2B2B"/>
                <w:spacing w:val="0"/>
                <w:w w:val="100"/>
                <w:position w:val="0"/>
                <w:sz w:val="22"/>
                <w:szCs w:val="22"/>
              </w:rPr>
              <w:t>37</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framePr w:w="4373" w:h="9638" w:wrap="auto" w:vAnchor="text" w:hAnchor="page" w:x="5935" w:y="2082"/>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重症肌无力</w:t>
            </w:r>
          </w:p>
        </w:tc>
      </w:tr>
      <w:tr>
        <w:tblPrEx>
          <w:tblCellMar>
            <w:top w:w="0" w:type="dxa"/>
            <w:left w:w="10" w:type="dxa"/>
            <w:bottom w:w="0" w:type="dxa"/>
            <w:right w:w="10" w:type="dxa"/>
          </w:tblCellMar>
        </w:tblPrEx>
        <w:trPr>
          <w:trHeight w:val="432" w:hRule="exact"/>
        </w:trPr>
        <w:tc>
          <w:tcPr>
            <w:tcBorders>
              <w:top w:val="single" w:color="auto" w:sz="4" w:space="0"/>
              <w:left w:val="single" w:color="auto" w:sz="4" w:space="0"/>
            </w:tcBorders>
            <w:shd w:val="clear" w:color="auto" w:fill="FFFFFF"/>
            <w:vAlign w:val="bottom"/>
          </w:tcPr>
          <w:p>
            <w:pPr>
              <w:pStyle w:val="19"/>
              <w:keepNext w:val="0"/>
              <w:keepLines w:val="0"/>
              <w:framePr w:w="4373" w:h="9638" w:wrap="auto" w:vAnchor="text" w:hAnchor="page" w:x="5935" w:y="2082"/>
              <w:widowControl w:val="0"/>
              <w:shd w:val="clear" w:color="auto" w:fill="auto"/>
              <w:bidi w:val="0"/>
              <w:spacing w:before="0" w:after="0" w:line="240" w:lineRule="auto"/>
              <w:ind w:left="0" w:right="0" w:firstLine="320"/>
              <w:jc w:val="left"/>
              <w:rPr>
                <w:sz w:val="22"/>
                <w:szCs w:val="22"/>
              </w:rPr>
            </w:pPr>
            <w:r>
              <w:rPr>
                <w:rFonts w:ascii="Times New Roman" w:hAnsi="Times New Roman" w:eastAsia="Times New Roman" w:cs="Times New Roman"/>
                <w:color w:val="2B2B2B"/>
                <w:spacing w:val="0"/>
                <w:w w:val="100"/>
                <w:position w:val="0"/>
                <w:sz w:val="22"/>
                <w:szCs w:val="22"/>
              </w:rPr>
              <w:t>38</w:t>
            </w:r>
          </w:p>
        </w:tc>
        <w:tc>
          <w:tcPr>
            <w:tcBorders>
              <w:top w:val="single" w:color="auto" w:sz="4" w:space="0"/>
              <w:left w:val="single" w:color="auto" w:sz="4" w:space="0"/>
              <w:right w:val="single" w:color="auto" w:sz="4" w:space="0"/>
            </w:tcBorders>
            <w:shd w:val="clear" w:color="auto" w:fill="FFFFFF"/>
            <w:vAlign w:val="bottom"/>
          </w:tcPr>
          <w:p>
            <w:pPr>
              <w:pStyle w:val="19"/>
              <w:keepNext w:val="0"/>
              <w:keepLines w:val="0"/>
              <w:framePr w:w="4373" w:h="9638" w:wrap="auto" w:vAnchor="text" w:hAnchor="page" w:x="5935" w:y="2082"/>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白癥风</w:t>
            </w:r>
          </w:p>
        </w:tc>
      </w:tr>
      <w:tr>
        <w:tblPrEx>
          <w:tblCellMar>
            <w:top w:w="0" w:type="dxa"/>
            <w:left w:w="10" w:type="dxa"/>
            <w:bottom w:w="0" w:type="dxa"/>
            <w:right w:w="10" w:type="dxa"/>
          </w:tblCellMar>
        </w:tblPrEx>
        <w:trPr>
          <w:trHeight w:val="446" w:hRule="exact"/>
        </w:trPr>
        <w:tc>
          <w:tcPr>
            <w:tcBorders>
              <w:top w:val="single" w:color="auto" w:sz="4" w:space="0"/>
              <w:left w:val="single" w:color="auto" w:sz="4" w:space="0"/>
            </w:tcBorders>
            <w:shd w:val="clear" w:color="auto" w:fill="FFFFFF"/>
            <w:vAlign w:val="center"/>
          </w:tcPr>
          <w:p>
            <w:pPr>
              <w:pStyle w:val="19"/>
              <w:keepNext w:val="0"/>
              <w:keepLines w:val="0"/>
              <w:framePr w:w="4373" w:h="9638" w:wrap="auto" w:vAnchor="text" w:hAnchor="page" w:x="5935" w:y="2082"/>
              <w:widowControl w:val="0"/>
              <w:shd w:val="clear" w:color="auto" w:fill="auto"/>
              <w:bidi w:val="0"/>
              <w:spacing w:before="0" w:after="0" w:line="240" w:lineRule="auto"/>
              <w:ind w:left="0" w:right="0" w:firstLine="320"/>
              <w:jc w:val="left"/>
              <w:rPr>
                <w:sz w:val="22"/>
                <w:szCs w:val="22"/>
              </w:rPr>
            </w:pPr>
            <w:r>
              <w:rPr>
                <w:rFonts w:ascii="Times New Roman" w:hAnsi="Times New Roman" w:eastAsia="Times New Roman" w:cs="Times New Roman"/>
                <w:color w:val="2B2B2B"/>
                <w:spacing w:val="0"/>
                <w:w w:val="100"/>
                <w:position w:val="0"/>
                <w:sz w:val="22"/>
                <w:szCs w:val="22"/>
              </w:rPr>
              <w:t>39</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framePr w:w="4373" w:h="9638" w:wrap="auto" w:vAnchor="text" w:hAnchor="page" w:x="5935" w:y="2082"/>
              <w:widowControl w:val="0"/>
              <w:shd w:val="clear" w:color="auto" w:fill="auto"/>
              <w:bidi w:val="0"/>
              <w:spacing w:before="0" w:after="0" w:line="240" w:lineRule="auto"/>
              <w:ind w:left="0" w:right="0" w:firstLine="0"/>
              <w:jc w:val="left"/>
              <w:rPr>
                <w:sz w:val="22"/>
                <w:szCs w:val="22"/>
              </w:rPr>
            </w:pPr>
            <w:r>
              <w:rPr>
                <w:color w:val="2B2B2B"/>
                <w:spacing w:val="0"/>
                <w:w w:val="100"/>
                <w:position w:val="0"/>
                <w:sz w:val="22"/>
                <w:szCs w:val="22"/>
              </w:rPr>
              <w:t>系统性红白狼疮</w:t>
            </w:r>
          </w:p>
        </w:tc>
      </w:tr>
      <w:tr>
        <w:tblPrEx>
          <w:tblCellMar>
            <w:top w:w="0" w:type="dxa"/>
            <w:left w:w="10" w:type="dxa"/>
            <w:bottom w:w="0" w:type="dxa"/>
            <w:right w:w="10" w:type="dxa"/>
          </w:tblCellMar>
        </w:tblPrEx>
        <w:trPr>
          <w:trHeight w:val="437" w:hRule="exact"/>
        </w:trPr>
        <w:tc>
          <w:tcPr>
            <w:tcBorders>
              <w:top w:val="single" w:color="auto" w:sz="4" w:space="0"/>
              <w:left w:val="single" w:color="auto" w:sz="4" w:space="0"/>
            </w:tcBorders>
            <w:shd w:val="clear" w:color="auto" w:fill="FFFFFF"/>
            <w:vAlign w:val="top"/>
          </w:tcPr>
          <w:p>
            <w:pPr>
              <w:pStyle w:val="19"/>
              <w:keepNext w:val="0"/>
              <w:keepLines w:val="0"/>
              <w:framePr w:w="4373" w:h="9638" w:wrap="auto" w:vAnchor="text" w:hAnchor="page" w:x="5935" w:y="2082"/>
              <w:widowControl w:val="0"/>
              <w:shd w:val="clear" w:color="auto" w:fill="auto"/>
              <w:bidi w:val="0"/>
              <w:spacing w:before="80" w:after="0" w:line="240" w:lineRule="auto"/>
              <w:ind w:left="0" w:right="0" w:firstLine="320"/>
              <w:jc w:val="left"/>
              <w:rPr>
                <w:sz w:val="22"/>
                <w:szCs w:val="22"/>
              </w:rPr>
            </w:pPr>
            <w:r>
              <w:rPr>
                <w:rFonts w:ascii="Times New Roman" w:hAnsi="Times New Roman" w:eastAsia="Times New Roman" w:cs="Times New Roman"/>
                <w:color w:val="2B2B2B"/>
                <w:spacing w:val="0"/>
                <w:w w:val="100"/>
                <w:position w:val="0"/>
                <w:sz w:val="22"/>
                <w:szCs w:val="22"/>
              </w:rPr>
              <w:t>40</w:t>
            </w:r>
          </w:p>
        </w:tc>
        <w:tc>
          <w:tcPr>
            <w:tcBorders>
              <w:top w:val="single" w:color="auto" w:sz="4" w:space="0"/>
              <w:left w:val="single" w:color="auto" w:sz="4" w:space="0"/>
              <w:right w:val="single" w:color="auto" w:sz="4" w:space="0"/>
            </w:tcBorders>
            <w:shd w:val="clear" w:color="auto" w:fill="FFFFFF"/>
            <w:vAlign w:val="top"/>
          </w:tcPr>
          <w:p>
            <w:pPr>
              <w:pStyle w:val="19"/>
              <w:keepNext w:val="0"/>
              <w:keepLines w:val="0"/>
              <w:framePr w:w="4373" w:h="9638" w:wrap="auto" w:vAnchor="text" w:hAnchor="page" w:x="5935" w:y="2082"/>
              <w:widowControl w:val="0"/>
              <w:shd w:val="clear" w:color="auto" w:fill="auto"/>
              <w:bidi w:val="0"/>
              <w:spacing w:before="80" w:after="0" w:line="240" w:lineRule="auto"/>
              <w:ind w:left="0" w:right="0" w:firstLine="0"/>
              <w:jc w:val="left"/>
              <w:rPr>
                <w:sz w:val="22"/>
                <w:szCs w:val="22"/>
              </w:rPr>
            </w:pPr>
            <w:r>
              <w:rPr>
                <w:color w:val="2B2B2B"/>
                <w:spacing w:val="0"/>
                <w:w w:val="100"/>
                <w:position w:val="0"/>
                <w:sz w:val="22"/>
                <w:szCs w:val="22"/>
              </w:rPr>
              <w:t>艾滋病</w:t>
            </w:r>
          </w:p>
        </w:tc>
      </w:tr>
      <w:tr>
        <w:tblPrEx>
          <w:tblCellMar>
            <w:top w:w="0" w:type="dxa"/>
            <w:left w:w="10" w:type="dxa"/>
            <w:bottom w:w="0" w:type="dxa"/>
            <w:right w:w="10" w:type="dxa"/>
          </w:tblCellMar>
        </w:tblPrEx>
        <w:trPr>
          <w:trHeight w:val="437" w:hRule="exact"/>
        </w:trPr>
        <w:tc>
          <w:tcPr>
            <w:tcBorders>
              <w:top w:val="single" w:color="auto" w:sz="4" w:space="0"/>
              <w:left w:val="single" w:color="auto" w:sz="4" w:space="0"/>
            </w:tcBorders>
            <w:shd w:val="clear" w:color="auto" w:fill="FFFFFF"/>
            <w:vAlign w:val="top"/>
          </w:tcPr>
          <w:p>
            <w:pPr>
              <w:pStyle w:val="19"/>
              <w:keepNext w:val="0"/>
              <w:keepLines w:val="0"/>
              <w:framePr w:w="4373" w:h="9638" w:wrap="auto" w:vAnchor="text" w:hAnchor="page" w:x="5935" w:y="2082"/>
              <w:widowControl w:val="0"/>
              <w:shd w:val="clear" w:color="auto" w:fill="auto"/>
              <w:bidi w:val="0"/>
              <w:spacing w:before="80" w:after="0" w:line="240" w:lineRule="auto"/>
              <w:ind w:left="0" w:right="0" w:firstLine="320"/>
              <w:jc w:val="left"/>
              <w:rPr>
                <w:sz w:val="22"/>
                <w:szCs w:val="22"/>
              </w:rPr>
            </w:pPr>
            <w:r>
              <w:rPr>
                <w:rFonts w:ascii="Times New Roman" w:hAnsi="Times New Roman" w:eastAsia="Times New Roman" w:cs="Times New Roman"/>
                <w:color w:val="2B2B2B"/>
                <w:spacing w:val="0"/>
                <w:w w:val="100"/>
                <w:position w:val="0"/>
                <w:sz w:val="22"/>
                <w:szCs w:val="22"/>
              </w:rPr>
              <w:t>41</w:t>
            </w:r>
          </w:p>
        </w:tc>
        <w:tc>
          <w:tcPr>
            <w:tcBorders>
              <w:top w:val="single" w:color="auto" w:sz="4" w:space="0"/>
              <w:left w:val="single" w:color="auto" w:sz="4" w:space="0"/>
              <w:right w:val="single" w:color="auto" w:sz="4" w:space="0"/>
            </w:tcBorders>
            <w:shd w:val="clear" w:color="auto" w:fill="FFFFFF"/>
            <w:vAlign w:val="top"/>
          </w:tcPr>
          <w:p>
            <w:pPr>
              <w:pStyle w:val="19"/>
              <w:keepNext w:val="0"/>
              <w:keepLines w:val="0"/>
              <w:framePr w:w="4373" w:h="9638" w:wrap="auto" w:vAnchor="text" w:hAnchor="page" w:x="5935" w:y="2082"/>
              <w:widowControl w:val="0"/>
              <w:shd w:val="clear" w:color="auto" w:fill="auto"/>
              <w:bidi w:val="0"/>
              <w:spacing w:before="80" w:after="0" w:line="240" w:lineRule="auto"/>
              <w:ind w:left="0" w:right="0" w:firstLine="0"/>
              <w:jc w:val="left"/>
              <w:rPr>
                <w:sz w:val="22"/>
                <w:szCs w:val="22"/>
              </w:rPr>
            </w:pPr>
            <w:r>
              <w:rPr>
                <w:color w:val="2B2B2B"/>
                <w:spacing w:val="0"/>
                <w:w w:val="100"/>
                <w:position w:val="0"/>
                <w:sz w:val="22"/>
                <w:szCs w:val="22"/>
              </w:rPr>
              <w:t>苯丙酮尿症</w:t>
            </w:r>
          </w:p>
        </w:tc>
      </w:tr>
      <w:tr>
        <w:tblPrEx>
          <w:tblCellMar>
            <w:top w:w="0" w:type="dxa"/>
            <w:left w:w="10" w:type="dxa"/>
            <w:bottom w:w="0" w:type="dxa"/>
            <w:right w:w="10" w:type="dxa"/>
          </w:tblCellMar>
        </w:tblPrEx>
        <w:trPr>
          <w:trHeight w:val="442" w:hRule="exact"/>
        </w:trPr>
        <w:tc>
          <w:tcPr>
            <w:tcBorders>
              <w:top w:val="single" w:color="auto" w:sz="4" w:space="0"/>
              <w:left w:val="single" w:color="auto" w:sz="4" w:space="0"/>
              <w:bottom w:val="single" w:color="auto" w:sz="4" w:space="0"/>
            </w:tcBorders>
            <w:shd w:val="clear" w:color="auto" w:fill="FFFFFF"/>
            <w:vAlign w:val="top"/>
          </w:tcPr>
          <w:p>
            <w:pPr>
              <w:framePr w:w="4373" w:h="9638" w:wrap="auto" w:vAnchor="text" w:hAnchor="page" w:x="5935" w:y="2082"/>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framePr w:w="4373" w:h="9638" w:wrap="auto" w:vAnchor="text" w:hAnchor="page" w:x="5935" w:y="2082"/>
              <w:widowControl w:val="0"/>
              <w:rPr>
                <w:sz w:val="10"/>
                <w:szCs w:val="10"/>
              </w:rPr>
            </w:pPr>
          </w:p>
        </w:tc>
      </w:tr>
    </w:tbl>
    <w:p>
      <w:pPr>
        <w:framePr w:w="4373" w:h="9638" w:wrap="auto" w:vAnchor="text" w:hAnchor="page" w:x="5935" w:y="2082"/>
        <w:widowControl w:val="0"/>
        <w:spacing w:line="1"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58" w:line="1" w:lineRule="exact"/>
      </w:pPr>
    </w:p>
    <w:p>
      <w:pPr>
        <w:widowControl w:val="0"/>
        <w:spacing w:line="1" w:lineRule="exact"/>
        <w:sectPr>
          <w:footnotePr>
            <w:numFmt w:val="decimal"/>
          </w:footnotePr>
          <w:type w:val="continuous"/>
          <w:pgSz w:w="11900" w:h="16840"/>
          <w:pgMar w:top="2347" w:right="1593" w:bottom="1272" w:left="1571" w:header="0" w:footer="3" w:gutter="0"/>
          <w:cols w:space="720" w:num="1"/>
          <w:rtlGutter w:val="0"/>
          <w:docGrid w:linePitch="360" w:charSpace="0"/>
        </w:sectPr>
      </w:pPr>
    </w:p>
    <w:p>
      <w:pPr>
        <w:pStyle w:val="15"/>
        <w:keepNext/>
        <w:keepLines/>
        <w:widowControl w:val="0"/>
        <w:shd w:val="clear" w:color="auto" w:fill="auto"/>
        <w:bidi w:val="0"/>
        <w:spacing w:before="0" w:after="460" w:line="240" w:lineRule="auto"/>
        <w:ind w:left="0" w:right="0" w:firstLine="0"/>
        <w:jc w:val="center"/>
      </w:pPr>
      <w:bookmarkStart w:id="33" w:name="bookmark57"/>
      <w:bookmarkStart w:id="34" w:name="bookmark59"/>
      <w:bookmarkStart w:id="35" w:name="bookmark58"/>
      <w:r>
        <w:rPr>
          <w:color w:val="2B2B2B"/>
          <w:spacing w:val="0"/>
          <w:w w:val="100"/>
          <w:position w:val="0"/>
        </w:rPr>
        <w:t>城乡居民基本医保住院费用报销比例表</w:t>
      </w:r>
      <w:bookmarkEnd w:id="33"/>
      <w:bookmarkEnd w:id="34"/>
      <w:bookmarkEnd w:id="35"/>
    </w:p>
    <w:tbl>
      <w:tblPr>
        <w:tblStyle w:val="2"/>
        <w:tblW w:w="0" w:type="auto"/>
        <w:jc w:val="center"/>
        <w:tblLayout w:type="fixed"/>
        <w:tblCellMar>
          <w:top w:w="0" w:type="dxa"/>
          <w:left w:w="10" w:type="dxa"/>
          <w:bottom w:w="0" w:type="dxa"/>
          <w:right w:w="10" w:type="dxa"/>
        </w:tblCellMar>
      </w:tblPr>
      <w:tblGrid>
        <w:gridCol w:w="2722"/>
        <w:gridCol w:w="4373"/>
        <w:gridCol w:w="1675"/>
      </w:tblGrid>
      <w:tr>
        <w:tblPrEx>
          <w:tblCellMar>
            <w:top w:w="0" w:type="dxa"/>
            <w:left w:w="10" w:type="dxa"/>
            <w:bottom w:w="0" w:type="dxa"/>
            <w:right w:w="10" w:type="dxa"/>
          </w:tblCellMar>
        </w:tblPrEx>
        <w:trPr>
          <w:trHeight w:val="850"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2B2B2B"/>
                <w:spacing w:val="0"/>
                <w:w w:val="100"/>
                <w:position w:val="0"/>
                <w:sz w:val="22"/>
                <w:szCs w:val="22"/>
              </w:rPr>
              <w:t>定点医疗机构级别</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2B2B2B"/>
                <w:spacing w:val="0"/>
                <w:w w:val="100"/>
                <w:position w:val="0"/>
                <w:sz w:val="22"/>
                <w:szCs w:val="22"/>
              </w:rPr>
              <w:t>政策范围内年度基金报销分段</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2B2B2B"/>
                <w:spacing w:val="0"/>
                <w:w w:val="100"/>
                <w:position w:val="0"/>
                <w:sz w:val="22"/>
                <w:szCs w:val="22"/>
              </w:rPr>
              <w:t>报销比例</w:t>
            </w:r>
          </w:p>
        </w:tc>
      </w:tr>
      <w:tr>
        <w:tblPrEx>
          <w:tblCellMar>
            <w:top w:w="0" w:type="dxa"/>
            <w:left w:w="10" w:type="dxa"/>
            <w:bottom w:w="0" w:type="dxa"/>
            <w:right w:w="10" w:type="dxa"/>
          </w:tblCellMar>
        </w:tblPrEx>
        <w:trPr>
          <w:trHeight w:val="1066" w:hRule="exact"/>
          <w:jc w:val="center"/>
        </w:trPr>
        <w:tc>
          <w:tcPr>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54" w:lineRule="exact"/>
              <w:ind w:left="0" w:right="0" w:firstLine="0"/>
              <w:jc w:val="center"/>
              <w:rPr>
                <w:sz w:val="22"/>
                <w:szCs w:val="22"/>
              </w:rPr>
            </w:pPr>
            <w:r>
              <w:rPr>
                <w:color w:val="2B2B2B"/>
                <w:spacing w:val="0"/>
                <w:w w:val="100"/>
                <w:position w:val="0"/>
                <w:sz w:val="22"/>
                <w:szCs w:val="22"/>
              </w:rPr>
              <w:t>一级 （•含以下）</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2B2B2B"/>
                <w:spacing w:val="0"/>
                <w:w w:val="100"/>
                <w:position w:val="0"/>
                <w:sz w:val="22"/>
                <w:szCs w:val="22"/>
              </w:rPr>
              <w:t>起付线（元</w:t>
            </w:r>
            <w:r>
              <w:rPr>
                <w:color w:val="2B2B2B"/>
                <w:spacing w:val="0"/>
                <w:w w:val="100"/>
                <w:position w:val="0"/>
                <w:sz w:val="22"/>
                <w:szCs w:val="22"/>
                <w:lang w:val="en-US" w:eastAsia="en-US" w:bidi="en-US"/>
              </w:rPr>
              <w:t>）一</w:t>
            </w:r>
            <w:r>
              <w:rPr>
                <w:rFonts w:ascii="Times New Roman" w:hAnsi="Times New Roman" w:eastAsia="Times New Roman" w:cs="Times New Roman"/>
                <w:color w:val="2B2B2B"/>
                <w:spacing w:val="0"/>
                <w:w w:val="100"/>
                <w:position w:val="0"/>
                <w:sz w:val="42"/>
                <w:szCs w:val="42"/>
                <w:lang w:val="en-US" w:eastAsia="en-US" w:bidi="en-US"/>
              </w:rPr>
              <w:t>30000</w:t>
            </w:r>
            <w:r>
              <w:rPr>
                <w:color w:val="2B2B2B"/>
                <w:spacing w:val="0"/>
                <w:w w:val="100"/>
                <w:position w:val="0"/>
                <w:sz w:val="22"/>
                <w:szCs w:val="22"/>
              </w:rPr>
              <w:t>元</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620"/>
              <w:jc w:val="both"/>
              <w:rPr>
                <w:sz w:val="22"/>
                <w:szCs w:val="22"/>
              </w:rPr>
            </w:pPr>
            <w:r>
              <w:rPr>
                <w:rFonts w:ascii="Times New Roman" w:hAnsi="Times New Roman" w:eastAsia="Times New Roman" w:cs="Times New Roman"/>
                <w:color w:val="2B2B2B"/>
                <w:spacing w:val="0"/>
                <w:w w:val="100"/>
                <w:position w:val="0"/>
                <w:sz w:val="22"/>
                <w:szCs w:val="22"/>
              </w:rPr>
              <w:t>80%</w:t>
            </w:r>
          </w:p>
        </w:tc>
      </w:tr>
      <w:tr>
        <w:tblPrEx>
          <w:tblCellMar>
            <w:top w:w="0" w:type="dxa"/>
            <w:left w:w="10" w:type="dxa"/>
            <w:bottom w:w="0" w:type="dxa"/>
            <w:right w:w="10" w:type="dxa"/>
          </w:tblCellMar>
        </w:tblPrEx>
        <w:trPr>
          <w:trHeight w:val="1061"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color w:val="2B2B2B"/>
                <w:spacing w:val="0"/>
                <w:w w:val="100"/>
                <w:position w:val="0"/>
                <w:sz w:val="42"/>
                <w:szCs w:val="42"/>
              </w:rPr>
              <w:t xml:space="preserve">30001 </w:t>
            </w:r>
            <w:r>
              <w:rPr>
                <w:color w:val="2B2B2B"/>
                <w:spacing w:val="0"/>
                <w:w w:val="100"/>
                <w:position w:val="0"/>
                <w:sz w:val="22"/>
                <w:szCs w:val="22"/>
              </w:rPr>
              <w:t>元</w:t>
            </w:r>
            <w:r>
              <w:rPr>
                <w:color w:val="2B2B2B"/>
                <w:spacing w:val="0"/>
                <w:w w:val="100"/>
                <w:position w:val="0"/>
                <w:sz w:val="22"/>
                <w:szCs w:val="22"/>
                <w:lang w:val="en-US" w:eastAsia="en-US" w:bidi="en-US"/>
              </w:rPr>
              <w:t>一</w:t>
            </w:r>
            <w:r>
              <w:rPr>
                <w:rFonts w:ascii="Times New Roman" w:hAnsi="Times New Roman" w:eastAsia="Times New Roman" w:cs="Times New Roman"/>
                <w:color w:val="2B2B2B"/>
                <w:spacing w:val="0"/>
                <w:w w:val="100"/>
                <w:position w:val="0"/>
                <w:sz w:val="42"/>
                <w:szCs w:val="42"/>
                <w:lang w:val="en-US" w:eastAsia="en-US" w:bidi="en-US"/>
              </w:rPr>
              <w:t xml:space="preserve">60000 </w:t>
            </w:r>
            <w:r>
              <w:rPr>
                <w:color w:val="2B2B2B"/>
                <w:spacing w:val="0"/>
                <w:w w:val="100"/>
                <w:position w:val="0"/>
                <w:sz w:val="22"/>
                <w:szCs w:val="22"/>
              </w:rPr>
              <w:t>元</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620"/>
              <w:jc w:val="both"/>
              <w:rPr>
                <w:sz w:val="22"/>
                <w:szCs w:val="22"/>
              </w:rPr>
            </w:pPr>
            <w:r>
              <w:rPr>
                <w:rFonts w:ascii="Times New Roman" w:hAnsi="Times New Roman" w:eastAsia="Times New Roman" w:cs="Times New Roman"/>
                <w:color w:val="2B2B2B"/>
                <w:spacing w:val="0"/>
                <w:w w:val="100"/>
                <w:position w:val="0"/>
                <w:sz w:val="22"/>
                <w:szCs w:val="22"/>
              </w:rPr>
              <w:t>85%</w:t>
            </w:r>
          </w:p>
        </w:tc>
      </w:tr>
      <w:tr>
        <w:tblPrEx>
          <w:tblCellMar>
            <w:top w:w="0" w:type="dxa"/>
            <w:left w:w="10" w:type="dxa"/>
            <w:bottom w:w="0" w:type="dxa"/>
            <w:right w:w="10" w:type="dxa"/>
          </w:tblCellMar>
        </w:tblPrEx>
        <w:trPr>
          <w:trHeight w:val="1066"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color w:val="2B2B2B"/>
                <w:spacing w:val="0"/>
                <w:w w:val="100"/>
                <w:position w:val="0"/>
                <w:sz w:val="42"/>
                <w:szCs w:val="42"/>
              </w:rPr>
              <w:t>60001</w:t>
            </w:r>
            <w:r>
              <w:rPr>
                <w:color w:val="2B2B2B"/>
                <w:spacing w:val="0"/>
                <w:w w:val="100"/>
                <w:position w:val="0"/>
                <w:sz w:val="22"/>
                <w:szCs w:val="22"/>
              </w:rPr>
              <w:t>元以上</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620"/>
              <w:jc w:val="both"/>
              <w:rPr>
                <w:sz w:val="22"/>
                <w:szCs w:val="22"/>
              </w:rPr>
            </w:pPr>
            <w:r>
              <w:rPr>
                <w:rFonts w:ascii="Times New Roman" w:hAnsi="Times New Roman" w:eastAsia="Times New Roman" w:cs="Times New Roman"/>
                <w:color w:val="2B2B2B"/>
                <w:spacing w:val="0"/>
                <w:w w:val="100"/>
                <w:position w:val="0"/>
                <w:sz w:val="22"/>
                <w:szCs w:val="22"/>
              </w:rPr>
              <w:t>90%</w:t>
            </w:r>
          </w:p>
        </w:tc>
      </w:tr>
      <w:tr>
        <w:tblPrEx>
          <w:tblCellMar>
            <w:top w:w="0" w:type="dxa"/>
            <w:left w:w="10" w:type="dxa"/>
            <w:bottom w:w="0" w:type="dxa"/>
            <w:right w:w="10" w:type="dxa"/>
          </w:tblCellMar>
        </w:tblPrEx>
        <w:trPr>
          <w:trHeight w:val="1061" w:hRule="exact"/>
          <w:jc w:val="center"/>
        </w:trPr>
        <w:tc>
          <w:tcPr>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2B2B2B"/>
                <w:spacing w:val="0"/>
                <w:w w:val="100"/>
                <w:position w:val="0"/>
                <w:sz w:val="22"/>
                <w:szCs w:val="22"/>
              </w:rPr>
              <w:t>二级</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2B2B2B"/>
                <w:spacing w:val="0"/>
                <w:w w:val="100"/>
                <w:position w:val="0"/>
                <w:sz w:val="22"/>
                <w:szCs w:val="22"/>
              </w:rPr>
              <w:t>起付线（元</w:t>
            </w:r>
            <w:r>
              <w:rPr>
                <w:color w:val="2B2B2B"/>
                <w:spacing w:val="0"/>
                <w:w w:val="100"/>
                <w:position w:val="0"/>
                <w:sz w:val="22"/>
                <w:szCs w:val="22"/>
                <w:lang w:val="en-US" w:eastAsia="en-US" w:bidi="en-US"/>
              </w:rPr>
              <w:t>）一</w:t>
            </w:r>
            <w:r>
              <w:rPr>
                <w:rFonts w:ascii="Times New Roman" w:hAnsi="Times New Roman" w:eastAsia="Times New Roman" w:cs="Times New Roman"/>
                <w:color w:val="2B2B2B"/>
                <w:spacing w:val="0"/>
                <w:w w:val="100"/>
                <w:position w:val="0"/>
                <w:sz w:val="42"/>
                <w:szCs w:val="42"/>
                <w:lang w:val="en-US" w:eastAsia="en-US" w:bidi="en-US"/>
              </w:rPr>
              <w:t>30000</w:t>
            </w:r>
            <w:r>
              <w:rPr>
                <w:color w:val="2B2B2B"/>
                <w:spacing w:val="0"/>
                <w:w w:val="100"/>
                <w:position w:val="0"/>
                <w:sz w:val="22"/>
                <w:szCs w:val="22"/>
              </w:rPr>
              <w:t>元</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620"/>
              <w:jc w:val="both"/>
              <w:rPr>
                <w:sz w:val="22"/>
                <w:szCs w:val="22"/>
              </w:rPr>
            </w:pPr>
            <w:r>
              <w:rPr>
                <w:rFonts w:ascii="Times New Roman" w:hAnsi="Times New Roman" w:eastAsia="Times New Roman" w:cs="Times New Roman"/>
                <w:color w:val="2B2B2B"/>
                <w:spacing w:val="0"/>
                <w:w w:val="100"/>
                <w:position w:val="0"/>
                <w:sz w:val="22"/>
                <w:szCs w:val="22"/>
              </w:rPr>
              <w:t>70%</w:t>
            </w:r>
          </w:p>
        </w:tc>
      </w:tr>
      <w:tr>
        <w:tblPrEx>
          <w:tblCellMar>
            <w:top w:w="0" w:type="dxa"/>
            <w:left w:w="10" w:type="dxa"/>
            <w:bottom w:w="0" w:type="dxa"/>
            <w:right w:w="10" w:type="dxa"/>
          </w:tblCellMar>
        </w:tblPrEx>
        <w:trPr>
          <w:trHeight w:val="1061"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color w:val="2B2B2B"/>
                <w:spacing w:val="0"/>
                <w:w w:val="100"/>
                <w:position w:val="0"/>
                <w:sz w:val="42"/>
                <w:szCs w:val="42"/>
              </w:rPr>
              <w:t xml:space="preserve">30001 </w:t>
            </w:r>
            <w:r>
              <w:rPr>
                <w:color w:val="2B2B2B"/>
                <w:spacing w:val="0"/>
                <w:w w:val="100"/>
                <w:position w:val="0"/>
                <w:sz w:val="22"/>
                <w:szCs w:val="22"/>
              </w:rPr>
              <w:t>元</w:t>
            </w:r>
            <w:r>
              <w:rPr>
                <w:color w:val="2B2B2B"/>
                <w:spacing w:val="0"/>
                <w:w w:val="100"/>
                <w:position w:val="0"/>
                <w:sz w:val="22"/>
                <w:szCs w:val="22"/>
                <w:lang w:val="en-US" w:eastAsia="en-US" w:bidi="en-US"/>
              </w:rPr>
              <w:t>一</w:t>
            </w:r>
            <w:r>
              <w:rPr>
                <w:rFonts w:ascii="Times New Roman" w:hAnsi="Times New Roman" w:eastAsia="Times New Roman" w:cs="Times New Roman"/>
                <w:color w:val="2B2B2B"/>
                <w:spacing w:val="0"/>
                <w:w w:val="100"/>
                <w:position w:val="0"/>
                <w:sz w:val="42"/>
                <w:szCs w:val="42"/>
                <w:lang w:val="en-US" w:eastAsia="en-US" w:bidi="en-US"/>
              </w:rPr>
              <w:t xml:space="preserve">60000 </w:t>
            </w:r>
            <w:r>
              <w:rPr>
                <w:color w:val="2B2B2B"/>
                <w:spacing w:val="0"/>
                <w:w w:val="100"/>
                <w:position w:val="0"/>
                <w:sz w:val="22"/>
                <w:szCs w:val="22"/>
              </w:rPr>
              <w:t>元</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620"/>
              <w:jc w:val="both"/>
              <w:rPr>
                <w:sz w:val="22"/>
                <w:szCs w:val="22"/>
              </w:rPr>
            </w:pPr>
            <w:r>
              <w:rPr>
                <w:rFonts w:ascii="Times New Roman" w:hAnsi="Times New Roman" w:eastAsia="Times New Roman" w:cs="Times New Roman"/>
                <w:color w:val="2B2B2B"/>
                <w:spacing w:val="0"/>
                <w:w w:val="100"/>
                <w:position w:val="0"/>
                <w:sz w:val="22"/>
                <w:szCs w:val="22"/>
              </w:rPr>
              <w:t>75%</w:t>
            </w:r>
          </w:p>
        </w:tc>
      </w:tr>
      <w:tr>
        <w:tblPrEx>
          <w:tblCellMar>
            <w:top w:w="0" w:type="dxa"/>
            <w:left w:w="10" w:type="dxa"/>
            <w:bottom w:w="0" w:type="dxa"/>
            <w:right w:w="10" w:type="dxa"/>
          </w:tblCellMar>
        </w:tblPrEx>
        <w:trPr>
          <w:trHeight w:val="1066"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color w:val="2B2B2B"/>
                <w:spacing w:val="0"/>
                <w:w w:val="100"/>
                <w:position w:val="0"/>
                <w:sz w:val="42"/>
                <w:szCs w:val="42"/>
              </w:rPr>
              <w:t>60001</w:t>
            </w:r>
            <w:r>
              <w:rPr>
                <w:color w:val="2B2B2B"/>
                <w:spacing w:val="0"/>
                <w:w w:val="100"/>
                <w:position w:val="0"/>
                <w:sz w:val="22"/>
                <w:szCs w:val="22"/>
              </w:rPr>
              <w:t>元以上</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620"/>
              <w:jc w:val="both"/>
              <w:rPr>
                <w:sz w:val="22"/>
                <w:szCs w:val="22"/>
              </w:rPr>
            </w:pPr>
            <w:r>
              <w:rPr>
                <w:rFonts w:ascii="Times New Roman" w:hAnsi="Times New Roman" w:eastAsia="Times New Roman" w:cs="Times New Roman"/>
                <w:color w:val="2B2B2B"/>
                <w:spacing w:val="0"/>
                <w:w w:val="100"/>
                <w:position w:val="0"/>
                <w:sz w:val="22"/>
                <w:szCs w:val="22"/>
              </w:rPr>
              <w:t>80%</w:t>
            </w:r>
          </w:p>
        </w:tc>
      </w:tr>
      <w:tr>
        <w:tblPrEx>
          <w:tblCellMar>
            <w:top w:w="0" w:type="dxa"/>
            <w:left w:w="10" w:type="dxa"/>
            <w:bottom w:w="0" w:type="dxa"/>
            <w:right w:w="10" w:type="dxa"/>
          </w:tblCellMar>
        </w:tblPrEx>
        <w:trPr>
          <w:trHeight w:val="1061" w:hRule="exact"/>
          <w:jc w:val="center"/>
        </w:trPr>
        <w:tc>
          <w:tcPr>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2B2B2B"/>
                <w:spacing w:val="0"/>
                <w:w w:val="100"/>
                <w:position w:val="0"/>
                <w:sz w:val="22"/>
                <w:szCs w:val="22"/>
              </w:rPr>
              <w:t>三级</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2B2B2B"/>
                <w:spacing w:val="0"/>
                <w:w w:val="100"/>
                <w:position w:val="0"/>
                <w:sz w:val="22"/>
                <w:szCs w:val="22"/>
              </w:rPr>
              <w:t>起付线（元</w:t>
            </w:r>
            <w:r>
              <w:rPr>
                <w:color w:val="2B2B2B"/>
                <w:spacing w:val="0"/>
                <w:w w:val="100"/>
                <w:position w:val="0"/>
                <w:sz w:val="22"/>
                <w:szCs w:val="22"/>
                <w:lang w:val="en-US" w:eastAsia="en-US" w:bidi="en-US"/>
              </w:rPr>
              <w:t>）一</w:t>
            </w:r>
            <w:r>
              <w:rPr>
                <w:rFonts w:ascii="Times New Roman" w:hAnsi="Times New Roman" w:eastAsia="Times New Roman" w:cs="Times New Roman"/>
                <w:color w:val="2B2B2B"/>
                <w:spacing w:val="0"/>
                <w:w w:val="100"/>
                <w:position w:val="0"/>
                <w:sz w:val="42"/>
                <w:szCs w:val="42"/>
                <w:lang w:val="en-US" w:eastAsia="en-US" w:bidi="en-US"/>
              </w:rPr>
              <w:t>300</w:t>
            </w:r>
            <w:r>
              <w:rPr>
                <w:color w:val="2B2B2B"/>
                <w:spacing w:val="0"/>
                <w:w w:val="100"/>
                <w:position w:val="0"/>
                <w:sz w:val="22"/>
                <w:szCs w:val="22"/>
              </w:rPr>
              <w:t>皿元</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620"/>
              <w:jc w:val="both"/>
              <w:rPr>
                <w:sz w:val="22"/>
                <w:szCs w:val="22"/>
              </w:rPr>
            </w:pPr>
            <w:r>
              <w:rPr>
                <w:rFonts w:ascii="Times New Roman" w:hAnsi="Times New Roman" w:eastAsia="Times New Roman" w:cs="Times New Roman"/>
                <w:color w:val="2B2B2B"/>
                <w:spacing w:val="0"/>
                <w:w w:val="100"/>
                <w:position w:val="0"/>
                <w:sz w:val="22"/>
                <w:szCs w:val="22"/>
              </w:rPr>
              <w:t>55%</w:t>
            </w:r>
          </w:p>
        </w:tc>
      </w:tr>
      <w:tr>
        <w:tblPrEx>
          <w:tblCellMar>
            <w:top w:w="0" w:type="dxa"/>
            <w:left w:w="10" w:type="dxa"/>
            <w:bottom w:w="0" w:type="dxa"/>
            <w:right w:w="10" w:type="dxa"/>
          </w:tblCellMar>
        </w:tblPrEx>
        <w:trPr>
          <w:trHeight w:val="1061"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color w:val="2B2B2B"/>
                <w:spacing w:val="0"/>
                <w:w w:val="100"/>
                <w:position w:val="0"/>
                <w:sz w:val="42"/>
                <w:szCs w:val="42"/>
              </w:rPr>
              <w:t xml:space="preserve">30001 </w:t>
            </w:r>
            <w:r>
              <w:rPr>
                <w:color w:val="2B2B2B"/>
                <w:spacing w:val="0"/>
                <w:w w:val="100"/>
                <w:position w:val="0"/>
                <w:sz w:val="22"/>
                <w:szCs w:val="22"/>
              </w:rPr>
              <w:t>元</w:t>
            </w:r>
            <w:r>
              <w:rPr>
                <w:color w:val="2B2B2B"/>
                <w:spacing w:val="0"/>
                <w:w w:val="100"/>
                <w:position w:val="0"/>
                <w:sz w:val="22"/>
                <w:szCs w:val="22"/>
                <w:lang w:val="en-US" w:eastAsia="en-US" w:bidi="en-US"/>
              </w:rPr>
              <w:t>一</w:t>
            </w:r>
            <w:r>
              <w:rPr>
                <w:rFonts w:ascii="Times New Roman" w:hAnsi="Times New Roman" w:eastAsia="Times New Roman" w:cs="Times New Roman"/>
                <w:color w:val="2B2B2B"/>
                <w:spacing w:val="0"/>
                <w:w w:val="100"/>
                <w:position w:val="0"/>
                <w:sz w:val="42"/>
                <w:szCs w:val="42"/>
                <w:lang w:val="en-US" w:eastAsia="en-US" w:bidi="en-US"/>
              </w:rPr>
              <w:t xml:space="preserve">60000 </w:t>
            </w:r>
            <w:r>
              <w:rPr>
                <w:color w:val="2B2B2B"/>
                <w:spacing w:val="0"/>
                <w:w w:val="100"/>
                <w:position w:val="0"/>
                <w:sz w:val="22"/>
                <w:szCs w:val="22"/>
              </w:rPr>
              <w:t>元</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620"/>
              <w:jc w:val="both"/>
              <w:rPr>
                <w:sz w:val="22"/>
                <w:szCs w:val="22"/>
              </w:rPr>
            </w:pPr>
            <w:r>
              <w:rPr>
                <w:rFonts w:ascii="Times New Roman" w:hAnsi="Times New Roman" w:eastAsia="Times New Roman" w:cs="Times New Roman"/>
                <w:color w:val="2B2B2B"/>
                <w:spacing w:val="0"/>
                <w:w w:val="100"/>
                <w:position w:val="0"/>
                <w:sz w:val="22"/>
                <w:szCs w:val="22"/>
              </w:rPr>
              <w:t>60%</w:t>
            </w:r>
          </w:p>
        </w:tc>
      </w:tr>
      <w:tr>
        <w:tblPrEx>
          <w:tblCellMar>
            <w:top w:w="0" w:type="dxa"/>
            <w:left w:w="10" w:type="dxa"/>
            <w:bottom w:w="0" w:type="dxa"/>
            <w:right w:w="10" w:type="dxa"/>
          </w:tblCellMar>
        </w:tblPrEx>
        <w:trPr>
          <w:trHeight w:val="1080" w:hRule="exact"/>
          <w:jc w:val="center"/>
        </w:trPr>
        <w:tc>
          <w:tcPr>
            <w:vMerge w:val="continue"/>
            <w:tcBorders>
              <w:left w:val="single" w:color="auto" w:sz="4" w:space="0"/>
              <w:bottom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color w:val="2B2B2B"/>
                <w:spacing w:val="0"/>
                <w:w w:val="100"/>
                <w:position w:val="0"/>
                <w:sz w:val="42"/>
                <w:szCs w:val="42"/>
              </w:rPr>
              <w:t>60001</w:t>
            </w:r>
            <w:r>
              <w:rPr>
                <w:color w:val="2B2B2B"/>
                <w:spacing w:val="0"/>
                <w:w w:val="100"/>
                <w:position w:val="0"/>
                <w:sz w:val="22"/>
                <w:szCs w:val="22"/>
              </w:rPr>
              <w:t>元以上</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620"/>
              <w:jc w:val="both"/>
              <w:rPr>
                <w:sz w:val="22"/>
                <w:szCs w:val="22"/>
              </w:rPr>
            </w:pPr>
            <w:r>
              <w:rPr>
                <w:rFonts w:ascii="Times New Roman" w:hAnsi="Times New Roman" w:eastAsia="Times New Roman" w:cs="Times New Roman"/>
                <w:color w:val="2B2B2B"/>
                <w:spacing w:val="0"/>
                <w:w w:val="100"/>
                <w:position w:val="0"/>
                <w:sz w:val="22"/>
                <w:szCs w:val="22"/>
              </w:rPr>
              <w:t>65%</w:t>
            </w:r>
          </w:p>
        </w:tc>
      </w:tr>
    </w:tbl>
    <w:p>
      <w:pPr>
        <w:widowControl w:val="0"/>
        <w:spacing w:after="739" w:line="1" w:lineRule="exact"/>
      </w:pPr>
    </w:p>
    <w:p>
      <w:pPr>
        <w:widowControl w:val="0"/>
        <w:spacing w:line="1" w:lineRule="exact"/>
      </w:pPr>
    </w:p>
    <w:p>
      <w:pPr>
        <w:widowControl w:val="0"/>
        <w:jc w:val="center"/>
        <w:rPr>
          <w:sz w:val="2"/>
          <w:szCs w:val="2"/>
        </w:rPr>
        <w:sectPr>
          <w:headerReference r:id="rId35" w:type="default"/>
          <w:footerReference r:id="rId37" w:type="default"/>
          <w:headerReference r:id="rId36" w:type="even"/>
          <w:footerReference r:id="rId38" w:type="even"/>
          <w:footnotePr>
            <w:numFmt w:val="decimal"/>
          </w:footnotePr>
          <w:pgSz w:w="11900" w:h="16840"/>
          <w:pgMar w:top="3522" w:right="1574" w:bottom="971" w:left="1557" w:header="0" w:footer="543" w:gutter="0"/>
          <w:cols w:space="720" w:num="1"/>
          <w:rtlGutter w:val="0"/>
          <w:docGrid w:linePitch="360" w:charSpace="0"/>
        </w:sectPr>
      </w:pPr>
      <w:r>
        <w:drawing>
          <wp:inline distT="0" distB="0" distL="114300" distR="114300">
            <wp:extent cx="420370" cy="158750"/>
            <wp:effectExtent l="0" t="0" r="17780" b="12700"/>
            <wp:docPr id="65" name="Picutre 65"/>
            <wp:cNvGraphicFramePr/>
            <a:graphic xmlns:a="http://schemas.openxmlformats.org/drawingml/2006/main">
              <a:graphicData uri="http://schemas.openxmlformats.org/drawingml/2006/picture">
                <pic:pic xmlns:pic="http://schemas.openxmlformats.org/drawingml/2006/picture">
                  <pic:nvPicPr>
                    <pic:cNvPr id="65" name="Picutre 65"/>
                    <pic:cNvPicPr/>
                  </pic:nvPicPr>
                  <pic:blipFill>
                    <a:blip r:embed="rId76"/>
                    <a:stretch>
                      <a:fillRect/>
                    </a:stretch>
                  </pic:blipFill>
                  <pic:spPr>
                    <a:xfrm>
                      <a:off x="0" y="0"/>
                      <a:ext cx="420370" cy="158750"/>
                    </a:xfrm>
                    <a:prstGeom prst="rect">
                      <a:avLst/>
                    </a:prstGeom>
                  </pic:spPr>
                </pic:pic>
              </a:graphicData>
            </a:graphic>
          </wp:inline>
        </w:drawing>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4" w:after="34" w:line="240" w:lineRule="exact"/>
        <w:rPr>
          <w:sz w:val="19"/>
          <w:szCs w:val="19"/>
        </w:rPr>
      </w:pPr>
    </w:p>
    <w:p>
      <w:pPr>
        <w:widowControl w:val="0"/>
        <w:spacing w:line="1" w:lineRule="exact"/>
        <w:sectPr>
          <w:headerReference r:id="rId39" w:type="default"/>
          <w:footerReference r:id="rId41" w:type="default"/>
          <w:headerReference r:id="rId40" w:type="even"/>
          <w:footerReference r:id="rId42" w:type="even"/>
          <w:footnotePr>
            <w:numFmt w:val="decimal"/>
          </w:footnotePr>
          <w:pgSz w:w="11900" w:h="16840"/>
          <w:pgMar w:top="14458" w:right="1574" w:bottom="770" w:left="1557" w:header="0" w:footer="3" w:gutter="0"/>
          <w:pgNumType w:start="26"/>
          <w:cols w:space="720" w:num="1"/>
          <w:rtlGutter w:val="0"/>
          <w:docGrid w:linePitch="360" w:charSpace="0"/>
        </w:sectPr>
      </w:pPr>
    </w:p>
    <w:p>
      <w:pPr>
        <w:widowControl w:val="0"/>
        <w:spacing w:line="1" w:lineRule="exact"/>
      </w:pPr>
      <w:r>
        <w:drawing>
          <wp:anchor distT="469900" distB="0" distL="114300" distR="114300" simplePos="0" relativeHeight="251660288" behindDoc="0" locked="0" layoutInCell="1" allowOverlap="1">
            <wp:simplePos x="0" y="0"/>
            <wp:positionH relativeFrom="page">
              <wp:posOffset>3611245</wp:posOffset>
            </wp:positionH>
            <wp:positionV relativeFrom="paragraph">
              <wp:posOffset>740410</wp:posOffset>
            </wp:positionV>
            <wp:extent cx="420370" cy="158750"/>
            <wp:effectExtent l="0" t="0" r="17780" b="12700"/>
            <wp:wrapTopAndBottom/>
            <wp:docPr id="66" name="Shape 66"/>
            <wp:cNvGraphicFramePr/>
            <a:graphic xmlns:a="http://schemas.openxmlformats.org/drawingml/2006/main">
              <a:graphicData uri="http://schemas.openxmlformats.org/drawingml/2006/picture">
                <pic:pic xmlns:pic="http://schemas.openxmlformats.org/drawingml/2006/picture">
                  <pic:nvPicPr>
                    <pic:cNvPr id="66" name="Shape 66"/>
                    <pic:cNvPicPr/>
                  </pic:nvPicPr>
                  <pic:blipFill>
                    <a:blip r:embed="rId77"/>
                    <a:stretch>
                      <a:fillRect/>
                    </a:stretch>
                  </pic:blipFill>
                  <pic:spPr>
                    <a:xfrm>
                      <a:off x="0" y="0"/>
                      <a:ext cx="420370" cy="158750"/>
                    </a:xfrm>
                    <a:prstGeom prst="rect">
                      <a:avLst/>
                    </a:prstGeom>
                  </pic:spPr>
                </pic:pic>
              </a:graphicData>
            </a:graphic>
          </wp:anchor>
        </w:drawing>
      </w:r>
    </w:p>
    <w:p>
      <w:pPr>
        <w:pStyle w:val="25"/>
        <w:keepNext w:val="0"/>
        <w:keepLines w:val="0"/>
        <w:widowControl w:val="0"/>
        <w:shd w:val="clear" w:color="auto" w:fill="auto"/>
        <w:bidi w:val="0"/>
        <w:spacing w:before="0" w:after="0" w:line="240" w:lineRule="auto"/>
        <w:ind w:left="0" w:right="0"/>
        <w:jc w:val="left"/>
        <w:sectPr>
          <w:footnotePr>
            <w:numFmt w:val="decimal"/>
          </w:footnotePr>
          <w:type w:val="continuous"/>
          <w:pgSz w:w="11900" w:h="16840"/>
          <w:pgMar w:top="14458" w:right="1574" w:bottom="770" w:left="1557" w:header="14030" w:footer="342" w:gutter="0"/>
          <w:cols w:space="720" w:num="1"/>
          <w:rtlGutter w:val="0"/>
          <w:docGrid w:linePitch="360" w:charSpace="0"/>
        </w:sectPr>
      </w:pPr>
      <w:r>
        <mc:AlternateContent>
          <mc:Choice Requires="wps">
            <w:drawing>
              <wp:anchor distT="0" distB="0" distL="114300" distR="114300" simplePos="0" relativeHeight="251660288" behindDoc="0" locked="0" layoutInCell="1" allowOverlap="1">
                <wp:simplePos x="0" y="0"/>
                <wp:positionH relativeFrom="page">
                  <wp:posOffset>4543425</wp:posOffset>
                </wp:positionH>
                <wp:positionV relativeFrom="paragraph">
                  <wp:posOffset>12700</wp:posOffset>
                </wp:positionV>
                <wp:extent cx="1845310" cy="207010"/>
                <wp:effectExtent l="0" t="0" r="0" b="0"/>
                <wp:wrapSquare wrapText="left"/>
                <wp:docPr id="68" name="Shape 68"/>
                <wp:cNvGraphicFramePr/>
                <a:graphic xmlns:a="http://schemas.openxmlformats.org/drawingml/2006/main">
                  <a:graphicData uri="http://schemas.microsoft.com/office/word/2010/wordprocessingShape">
                    <wps:wsp>
                      <wps:cNvSpPr txBox="true"/>
                      <wps:spPr>
                        <a:xfrm>
                          <a:off x="0" y="0"/>
                          <a:ext cx="1845310" cy="207010"/>
                        </a:xfrm>
                        <a:prstGeom prst="rect">
                          <a:avLst/>
                        </a:prstGeom>
                        <a:noFill/>
                      </wps:spPr>
                      <wps:txbx>
                        <w:txbxContent>
                          <w:p>
                            <w:pPr>
                              <w:pStyle w:val="23"/>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2"/>
                                <w:szCs w:val="22"/>
                              </w:rPr>
                              <w:t>2019</w:t>
                            </w:r>
                            <w:r>
                              <w:rPr>
                                <w:rFonts w:ascii="宋体" w:hAnsi="宋体" w:eastAsia="宋体" w:cs="宋体"/>
                                <w:color w:val="000000"/>
                                <w:spacing w:val="0"/>
                                <w:w w:val="100"/>
                                <w:position w:val="0"/>
                                <w:sz w:val="26"/>
                                <w:szCs w:val="26"/>
                              </w:rPr>
                              <w:t>年</w:t>
                            </w:r>
                            <w:r>
                              <w:rPr>
                                <w:rFonts w:ascii="Times New Roman" w:hAnsi="Times New Roman" w:eastAsia="Times New Roman" w:cs="Times New Roman"/>
                                <w:color w:val="000000"/>
                                <w:spacing w:val="0"/>
                                <w:w w:val="100"/>
                                <w:position w:val="0"/>
                                <w:sz w:val="22"/>
                                <w:szCs w:val="22"/>
                              </w:rPr>
                              <w:t>10</w:t>
                            </w:r>
                            <w:r>
                              <w:rPr>
                                <w:rFonts w:ascii="宋体" w:hAnsi="宋体" w:eastAsia="宋体" w:cs="宋体"/>
                                <w:color w:val="000000"/>
                                <w:spacing w:val="0"/>
                                <w:w w:val="100"/>
                                <w:position w:val="0"/>
                                <w:sz w:val="26"/>
                                <w:szCs w:val="26"/>
                              </w:rPr>
                              <w:t>月</w:t>
                            </w:r>
                            <w:r>
                              <w:rPr>
                                <w:rFonts w:ascii="Times New Roman" w:hAnsi="Times New Roman" w:eastAsia="Times New Roman" w:cs="Times New Roman"/>
                                <w:color w:val="000000"/>
                                <w:spacing w:val="0"/>
                                <w:w w:val="100"/>
                                <w:position w:val="0"/>
                                <w:sz w:val="22"/>
                                <w:szCs w:val="22"/>
                              </w:rPr>
                              <w:t>31</w:t>
                            </w:r>
                            <w:r>
                              <w:rPr>
                                <w:rFonts w:ascii="宋体" w:hAnsi="宋体" w:eastAsia="宋体" w:cs="宋体"/>
                                <w:color w:val="000000"/>
                                <w:spacing w:val="0"/>
                                <w:w w:val="100"/>
                                <w:position w:val="0"/>
                                <w:sz w:val="26"/>
                                <w:szCs w:val="26"/>
                              </w:rPr>
                              <w:t>日印发</w:t>
                            </w:r>
                          </w:p>
                        </w:txbxContent>
                      </wps:txbx>
                      <wps:bodyPr wrap="none" lIns="0" tIns="0" rIns="0" bIns="0">
                        <a:noAutofit/>
                      </wps:bodyPr>
                    </wps:wsp>
                  </a:graphicData>
                </a:graphic>
              </wp:anchor>
            </w:drawing>
          </mc:Choice>
          <mc:Fallback>
            <w:pict>
              <v:shape id="Shape 68" o:spid="_x0000_s1026" o:spt="202" type="#_x0000_t202" style="position:absolute;left:0pt;margin-left:357.75pt;margin-top:1pt;height:16.3pt;width:145.3pt;mso-position-horizontal-relative:page;mso-wrap-distance-bottom:0pt;mso-wrap-distance-left:9pt;mso-wrap-distance-right:9pt;mso-wrap-distance-top:0pt;mso-wrap-style:none;z-index:251660288;mso-width-relative:page;mso-height-relative:page;" filled="f" stroked="f" coordsize="21600,21600" o:gfxdata="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FgAAAGRycy9QSwECFAAUAAAACACHTuJAcyY5MtYAAAAJAQAA&#10;DwAAAAAAAAABACAAAAA4AAAAZHJzL2Rvd25yZXYueG1sUEsBAhQAFAAAAAgAh07iQJe4jV6TAQAA&#10;JwMAAA4AAAAAAAAAAQAgAAAAOwEAAGRycy9lMm9Eb2MueG1sUEsFBgAAAAAGAAYAWQEAAEAFAAAA&#10;AA==&#10;">
                <v:fill on="f" focussize="0,0"/>
                <v:stroke on="f"/>
                <v:imagedata o:title=""/>
                <o:lock v:ext="edit" aspectratio="f"/>
                <v:textbox inset="0mm,0mm,0mm,0mm">
                  <w:txbxContent>
                    <w:p>
                      <w:pPr>
                        <w:pStyle w:val="23"/>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2"/>
                          <w:szCs w:val="22"/>
                        </w:rPr>
                        <w:t>2019</w:t>
                      </w:r>
                      <w:r>
                        <w:rPr>
                          <w:rFonts w:ascii="宋体" w:hAnsi="宋体" w:eastAsia="宋体" w:cs="宋体"/>
                          <w:color w:val="000000"/>
                          <w:spacing w:val="0"/>
                          <w:w w:val="100"/>
                          <w:position w:val="0"/>
                          <w:sz w:val="26"/>
                          <w:szCs w:val="26"/>
                        </w:rPr>
                        <w:t>年</w:t>
                      </w:r>
                      <w:r>
                        <w:rPr>
                          <w:rFonts w:ascii="Times New Roman" w:hAnsi="Times New Roman" w:eastAsia="Times New Roman" w:cs="Times New Roman"/>
                          <w:color w:val="000000"/>
                          <w:spacing w:val="0"/>
                          <w:w w:val="100"/>
                          <w:position w:val="0"/>
                          <w:sz w:val="22"/>
                          <w:szCs w:val="22"/>
                        </w:rPr>
                        <w:t>10</w:t>
                      </w:r>
                      <w:r>
                        <w:rPr>
                          <w:rFonts w:ascii="宋体" w:hAnsi="宋体" w:eastAsia="宋体" w:cs="宋体"/>
                          <w:color w:val="000000"/>
                          <w:spacing w:val="0"/>
                          <w:w w:val="100"/>
                          <w:position w:val="0"/>
                          <w:sz w:val="26"/>
                          <w:szCs w:val="26"/>
                        </w:rPr>
                        <w:t>月</w:t>
                      </w:r>
                      <w:r>
                        <w:rPr>
                          <w:rFonts w:ascii="Times New Roman" w:hAnsi="Times New Roman" w:eastAsia="Times New Roman" w:cs="Times New Roman"/>
                          <w:color w:val="000000"/>
                          <w:spacing w:val="0"/>
                          <w:w w:val="100"/>
                          <w:position w:val="0"/>
                          <w:sz w:val="22"/>
                          <w:szCs w:val="22"/>
                        </w:rPr>
                        <w:t>31</w:t>
                      </w:r>
                      <w:r>
                        <w:rPr>
                          <w:rFonts w:ascii="宋体" w:hAnsi="宋体" w:eastAsia="宋体" w:cs="宋体"/>
                          <w:color w:val="000000"/>
                          <w:spacing w:val="0"/>
                          <w:w w:val="100"/>
                          <w:position w:val="0"/>
                          <w:sz w:val="26"/>
                          <w:szCs w:val="26"/>
                        </w:rPr>
                        <w:t>日印发</w:t>
                      </w:r>
                    </w:p>
                  </w:txbxContent>
                </v:textbox>
                <w10:wrap type="square" side="left"/>
              </v:shape>
            </w:pict>
          </mc:Fallback>
        </mc:AlternateContent>
      </w:r>
      <w:r>
        <w:rPr>
          <w:color w:val="000000"/>
          <w:spacing w:val="0"/>
          <w:w w:val="100"/>
          <w:position w:val="0"/>
        </w:rPr>
        <w:t>吉林省医疗保障局</w:t>
      </w:r>
    </w:p>
    <w:p>
      <w:pPr>
        <w:pStyle w:val="15"/>
        <w:keepNext/>
        <w:keepLines/>
        <w:widowControl w:val="0"/>
        <w:shd w:val="clear" w:color="auto" w:fill="auto"/>
        <w:bidi w:val="0"/>
        <w:spacing w:before="0" w:after="580" w:line="581" w:lineRule="exact"/>
        <w:ind w:left="0" w:right="0" w:firstLine="0"/>
        <w:jc w:val="center"/>
      </w:pPr>
      <w:bookmarkStart w:id="36" w:name="bookmark61"/>
      <w:bookmarkStart w:id="37" w:name="bookmark62"/>
      <w:bookmarkStart w:id="38" w:name="bookmark60"/>
      <w:r>
        <w:rPr>
          <w:color w:val="000000"/>
          <w:spacing w:val="0"/>
          <w:w w:val="100"/>
          <w:position w:val="0"/>
        </w:rPr>
        <w:t>吉林市城乡居民基本医疗保险门诊特殊</w:t>
      </w:r>
      <w:r>
        <w:rPr>
          <w:color w:val="000000"/>
          <w:spacing w:val="0"/>
          <w:w w:val="100"/>
          <w:position w:val="0"/>
        </w:rPr>
        <w:br w:type="textWrapping"/>
      </w:r>
      <w:r>
        <w:rPr>
          <w:color w:val="000000"/>
          <w:spacing w:val="0"/>
          <w:w w:val="100"/>
          <w:position w:val="0"/>
        </w:rPr>
        <w:t>疾病准入标准</w:t>
      </w:r>
      <w:bookmarkEnd w:id="36"/>
      <w:bookmarkEnd w:id="37"/>
      <w:bookmarkEnd w:id="38"/>
    </w:p>
    <w:p>
      <w:pPr>
        <w:pStyle w:val="13"/>
        <w:keepNext w:val="0"/>
        <w:keepLines w:val="0"/>
        <w:widowControl w:val="0"/>
        <w:shd w:val="clear" w:color="auto" w:fill="auto"/>
        <w:tabs>
          <w:tab w:val="left" w:pos="1218"/>
        </w:tabs>
        <w:bidi w:val="0"/>
        <w:spacing w:before="0" w:after="0" w:line="665" w:lineRule="exact"/>
        <w:ind w:left="0" w:right="0" w:firstLine="580"/>
        <w:jc w:val="both"/>
      </w:pPr>
      <w:bookmarkStart w:id="39" w:name="bookmark63"/>
      <w:r>
        <w:rPr>
          <w:b/>
          <w:bCs/>
          <w:color w:val="000000"/>
          <w:spacing w:val="0"/>
          <w:w w:val="100"/>
          <w:position w:val="0"/>
        </w:rPr>
        <w:t>一</w:t>
      </w:r>
      <w:bookmarkEnd w:id="39"/>
      <w:r>
        <w:rPr>
          <w:b/>
          <w:bCs/>
          <w:color w:val="000000"/>
          <w:spacing w:val="0"/>
          <w:w w:val="100"/>
          <w:position w:val="0"/>
        </w:rPr>
        <w:t>、</w:t>
      </w:r>
      <w:r>
        <w:rPr>
          <w:b/>
          <w:bCs/>
          <w:color w:val="000000"/>
          <w:spacing w:val="0"/>
          <w:w w:val="100"/>
          <w:position w:val="0"/>
        </w:rPr>
        <w:tab/>
      </w:r>
      <w:r>
        <w:rPr>
          <w:b/>
          <w:bCs/>
          <w:color w:val="000000"/>
          <w:spacing w:val="0"/>
          <w:w w:val="100"/>
          <w:position w:val="0"/>
        </w:rPr>
        <w:t>病史资料条件</w:t>
      </w:r>
    </w:p>
    <w:p>
      <w:pPr>
        <w:pStyle w:val="13"/>
        <w:keepNext w:val="0"/>
        <w:keepLines w:val="0"/>
        <w:widowControl w:val="0"/>
        <w:numPr>
          <w:ilvl w:val="0"/>
          <w:numId w:val="5"/>
        </w:numPr>
        <w:shd w:val="clear" w:color="auto" w:fill="auto"/>
        <w:tabs>
          <w:tab w:val="left" w:pos="1054"/>
        </w:tabs>
        <w:bidi w:val="0"/>
        <w:spacing w:before="0" w:after="0" w:line="665" w:lineRule="exact"/>
        <w:ind w:left="0" w:right="0" w:firstLine="640"/>
        <w:jc w:val="both"/>
      </w:pPr>
      <w:bookmarkStart w:id="40" w:name="bookmark64"/>
      <w:bookmarkEnd w:id="40"/>
      <w:r>
        <w:rPr>
          <w:color w:val="000000"/>
          <w:spacing w:val="0"/>
          <w:w w:val="100"/>
          <w:position w:val="0"/>
        </w:rPr>
        <w:t>参保人员申办门诊特殊疾病待遇原则上需要提供住院病 史资料及近一个月内诊断疾病必备的有效检查报告单；</w:t>
      </w:r>
    </w:p>
    <w:p>
      <w:pPr>
        <w:pStyle w:val="13"/>
        <w:keepNext w:val="0"/>
        <w:keepLines w:val="0"/>
        <w:widowControl w:val="0"/>
        <w:numPr>
          <w:ilvl w:val="0"/>
          <w:numId w:val="5"/>
        </w:numPr>
        <w:shd w:val="clear" w:color="auto" w:fill="auto"/>
        <w:tabs>
          <w:tab w:val="left" w:pos="1045"/>
        </w:tabs>
        <w:bidi w:val="0"/>
        <w:spacing w:before="0" w:after="0" w:line="665" w:lineRule="exact"/>
        <w:ind w:left="0" w:right="0" w:firstLine="640"/>
        <w:jc w:val="both"/>
      </w:pPr>
      <w:bookmarkStart w:id="41" w:name="bookmark65"/>
      <w:bookmarkEnd w:id="41"/>
      <w:r>
        <w:rPr>
          <w:color w:val="000000"/>
          <w:spacing w:val="0"/>
          <w:w w:val="100"/>
          <w:position w:val="0"/>
        </w:rPr>
        <w:t>本市参保人员申办特殊疾病在本市住院的必须提供定点 诊断医院、定点申请医院的住院病历原件；</w:t>
      </w:r>
    </w:p>
    <w:p>
      <w:pPr>
        <w:pStyle w:val="13"/>
        <w:keepNext w:val="0"/>
        <w:keepLines w:val="0"/>
        <w:widowControl w:val="0"/>
        <w:numPr>
          <w:ilvl w:val="0"/>
          <w:numId w:val="5"/>
        </w:numPr>
        <w:shd w:val="clear" w:color="auto" w:fill="auto"/>
        <w:tabs>
          <w:tab w:val="left" w:pos="1035"/>
        </w:tabs>
        <w:bidi w:val="0"/>
        <w:spacing w:before="0" w:after="0" w:line="665" w:lineRule="exact"/>
        <w:ind w:left="0" w:right="0" w:firstLine="640"/>
        <w:jc w:val="both"/>
      </w:pPr>
      <w:bookmarkStart w:id="42" w:name="bookmark66"/>
      <w:bookmarkEnd w:id="42"/>
      <w:r>
        <w:rPr>
          <w:color w:val="000000"/>
          <w:spacing w:val="0"/>
          <w:w w:val="100"/>
          <w:position w:val="0"/>
        </w:rPr>
        <w:t>本市参保人员申办特殊疾病提供的住院病历是外地医院 的病历复印件时，病历复印件必须加盖外地医院病案室公章；</w:t>
      </w:r>
    </w:p>
    <w:p>
      <w:pPr>
        <w:pStyle w:val="13"/>
        <w:keepNext w:val="0"/>
        <w:keepLines w:val="0"/>
        <w:widowControl w:val="0"/>
        <w:numPr>
          <w:ilvl w:val="0"/>
          <w:numId w:val="5"/>
        </w:numPr>
        <w:shd w:val="clear" w:color="auto" w:fill="auto"/>
        <w:tabs>
          <w:tab w:val="left" w:pos="1021"/>
        </w:tabs>
        <w:bidi w:val="0"/>
        <w:spacing w:before="0" w:after="0" w:line="665" w:lineRule="exact"/>
        <w:ind w:left="0" w:right="0" w:firstLine="640"/>
        <w:jc w:val="both"/>
      </w:pPr>
      <w:bookmarkStart w:id="43" w:name="bookmark67"/>
      <w:bookmarkEnd w:id="43"/>
      <w:r>
        <w:rPr>
          <w:color w:val="000000"/>
          <w:spacing w:val="0"/>
          <w:w w:val="100"/>
          <w:position w:val="0"/>
        </w:rPr>
        <w:t>本市参保人员提供的近一个月检查报告单必须是本市定 点诊断医院且达到所申办疾病的准入标准；</w:t>
      </w:r>
    </w:p>
    <w:p>
      <w:pPr>
        <w:pStyle w:val="13"/>
        <w:keepNext w:val="0"/>
        <w:keepLines w:val="0"/>
        <w:widowControl w:val="0"/>
        <w:numPr>
          <w:ilvl w:val="0"/>
          <w:numId w:val="5"/>
        </w:numPr>
        <w:shd w:val="clear" w:color="auto" w:fill="auto"/>
        <w:tabs>
          <w:tab w:val="left" w:pos="1028"/>
        </w:tabs>
        <w:bidi w:val="0"/>
        <w:spacing w:before="0" w:after="0" w:line="641" w:lineRule="exact"/>
        <w:ind w:left="0" w:right="0" w:firstLine="640"/>
        <w:jc w:val="both"/>
      </w:pPr>
      <w:bookmarkStart w:id="44" w:name="bookmark68"/>
      <w:bookmarkEnd w:id="44"/>
      <w:r>
        <w:rPr>
          <w:color w:val="000000"/>
          <w:spacing w:val="0"/>
          <w:w w:val="100"/>
          <w:position w:val="0"/>
        </w:rPr>
        <w:t>异地居住人员需提供住院病历复印件及当地所选定点医 院近一个内的有效检查报告单；</w:t>
      </w:r>
    </w:p>
    <w:p>
      <w:pPr>
        <w:pStyle w:val="13"/>
        <w:keepNext w:val="0"/>
        <w:keepLines w:val="0"/>
        <w:widowControl w:val="0"/>
        <w:numPr>
          <w:ilvl w:val="0"/>
          <w:numId w:val="5"/>
        </w:numPr>
        <w:shd w:val="clear" w:color="auto" w:fill="auto"/>
        <w:tabs>
          <w:tab w:val="left" w:pos="937"/>
        </w:tabs>
        <w:bidi w:val="0"/>
        <w:spacing w:before="0" w:after="0" w:line="662" w:lineRule="exact"/>
        <w:ind w:left="0" w:right="0" w:firstLine="640"/>
        <w:jc w:val="both"/>
      </w:pPr>
      <w:bookmarkStart w:id="45" w:name="bookmark69"/>
      <w:bookmarkEnd w:id="45"/>
      <w:r>
        <w:rPr>
          <w:color w:val="000000"/>
          <w:spacing w:val="0"/>
          <w:w w:val="100"/>
          <w:position w:val="0"/>
        </w:rPr>
        <w:t>其中痔疮门诊手术治疗、银屑病、胃息肉内镜治疗、结肠 （直肠）息肉内镜治疗、肾输尿管结石（体外冲击波碎石）、苯</w:t>
      </w:r>
    </w:p>
    <w:p>
      <w:pPr>
        <w:pStyle w:val="13"/>
        <w:keepNext w:val="0"/>
        <w:keepLines w:val="0"/>
        <w:widowControl w:val="0"/>
        <w:shd w:val="clear" w:color="auto" w:fill="auto"/>
        <w:bidi w:val="0"/>
        <w:spacing w:before="0" w:after="0" w:line="662" w:lineRule="exact"/>
        <w:ind w:left="0" w:right="0" w:firstLine="0"/>
        <w:jc w:val="left"/>
      </w:pPr>
      <w:r>
        <w:rPr>
          <w:color w:val="000000"/>
          <w:spacing w:val="0"/>
          <w:w w:val="100"/>
          <w:position w:val="0"/>
        </w:rPr>
        <w:t>丙酮尿症、外阴白斑、艾滋病不需要提供住院病历。</w:t>
      </w:r>
    </w:p>
    <w:p>
      <w:pPr>
        <w:pStyle w:val="13"/>
        <w:keepNext w:val="0"/>
        <w:keepLines w:val="0"/>
        <w:widowControl w:val="0"/>
        <w:shd w:val="clear" w:color="auto" w:fill="auto"/>
        <w:tabs>
          <w:tab w:val="left" w:pos="1218"/>
        </w:tabs>
        <w:bidi w:val="0"/>
        <w:spacing w:before="0" w:after="0" w:line="665" w:lineRule="exact"/>
        <w:ind w:left="0" w:right="0" w:firstLine="580"/>
        <w:jc w:val="both"/>
      </w:pPr>
      <w:bookmarkStart w:id="46" w:name="bookmark70"/>
      <w:r>
        <w:rPr>
          <w:b/>
          <w:bCs/>
          <w:color w:val="000000"/>
          <w:spacing w:val="0"/>
          <w:w w:val="100"/>
          <w:position w:val="0"/>
        </w:rPr>
        <w:t>二</w:t>
      </w:r>
      <w:bookmarkEnd w:id="46"/>
      <w:r>
        <w:rPr>
          <w:b/>
          <w:bCs/>
          <w:color w:val="000000"/>
          <w:spacing w:val="0"/>
          <w:w w:val="100"/>
          <w:position w:val="0"/>
        </w:rPr>
        <w:t>、</w:t>
      </w:r>
      <w:r>
        <w:rPr>
          <w:b/>
          <w:bCs/>
          <w:color w:val="000000"/>
          <w:spacing w:val="0"/>
          <w:w w:val="100"/>
          <w:position w:val="0"/>
        </w:rPr>
        <w:tab/>
      </w:r>
      <w:r>
        <w:rPr>
          <w:b/>
          <w:bCs/>
          <w:color w:val="000000"/>
          <w:spacing w:val="0"/>
          <w:w w:val="100"/>
          <w:position w:val="0"/>
        </w:rPr>
        <w:t>临床准入标准</w:t>
      </w:r>
    </w:p>
    <w:p>
      <w:pPr>
        <w:pStyle w:val="13"/>
        <w:keepNext w:val="0"/>
        <w:keepLines w:val="0"/>
        <w:widowControl w:val="0"/>
        <w:shd w:val="clear" w:color="auto" w:fill="auto"/>
        <w:bidi w:val="0"/>
        <w:spacing w:before="0" w:after="0" w:line="665" w:lineRule="exact"/>
        <w:ind w:left="0" w:right="0" w:firstLine="580"/>
        <w:jc w:val="left"/>
        <w:sectPr>
          <w:headerReference r:id="rId43" w:type="default"/>
          <w:footerReference r:id="rId45" w:type="default"/>
          <w:headerReference r:id="rId44" w:type="even"/>
          <w:footerReference r:id="rId46" w:type="even"/>
          <w:footnotePr>
            <w:numFmt w:val="decimal"/>
          </w:footnotePr>
          <w:pgSz w:w="11900" w:h="16840"/>
          <w:pgMar w:top="2811" w:right="1504" w:bottom="1731" w:left="1514" w:header="0" w:footer="3" w:gutter="0"/>
          <w:cols w:space="720" w:num="1"/>
          <w:rtlGutter w:val="0"/>
          <w:docGrid w:linePitch="360" w:charSpace="0"/>
        </w:sectPr>
      </w:pPr>
      <w:bookmarkStart w:id="47" w:name="bookmark71"/>
      <w:r>
        <w:rPr>
          <w:b/>
          <w:bCs/>
          <w:color w:val="000000"/>
          <w:spacing w:val="0"/>
          <w:w w:val="100"/>
          <w:position w:val="0"/>
        </w:rPr>
        <w:t>（</w:t>
      </w:r>
      <w:bookmarkEnd w:id="47"/>
      <w:r>
        <w:rPr>
          <w:b/>
          <w:bCs/>
          <w:color w:val="000000"/>
          <w:spacing w:val="0"/>
          <w:w w:val="100"/>
          <w:position w:val="0"/>
        </w:rPr>
        <w:t>一）恶性肿瘤放化疗</w:t>
      </w:r>
    </w:p>
    <w:p>
      <w:pPr>
        <w:pStyle w:val="13"/>
        <w:keepNext w:val="0"/>
        <w:keepLines w:val="0"/>
        <w:widowControl w:val="0"/>
        <w:shd w:val="clear" w:color="auto" w:fill="auto"/>
        <w:bidi w:val="0"/>
        <w:spacing w:before="0" w:after="0" w:line="664" w:lineRule="exact"/>
        <w:ind w:left="0" w:right="0" w:firstLine="580"/>
        <w:jc w:val="both"/>
      </w:pPr>
      <w:r>
        <w:rPr>
          <w:color w:val="000000"/>
          <w:spacing w:val="0"/>
          <w:w w:val="100"/>
          <w:position w:val="0"/>
        </w:rPr>
        <w:t>同时具备以下三项：</w:t>
      </w:r>
    </w:p>
    <w:p>
      <w:pPr>
        <w:pStyle w:val="13"/>
        <w:keepNext w:val="0"/>
        <w:keepLines w:val="0"/>
        <w:widowControl w:val="0"/>
        <w:numPr>
          <w:ilvl w:val="0"/>
          <w:numId w:val="6"/>
        </w:numPr>
        <w:shd w:val="clear" w:color="auto" w:fill="auto"/>
        <w:tabs>
          <w:tab w:val="left" w:pos="967"/>
        </w:tabs>
        <w:bidi w:val="0"/>
        <w:spacing w:before="0" w:after="0" w:line="664" w:lineRule="exact"/>
        <w:ind w:left="0" w:right="0" w:firstLine="580"/>
        <w:jc w:val="both"/>
      </w:pPr>
      <w:bookmarkStart w:id="48" w:name="bookmark72"/>
      <w:bookmarkEnd w:id="48"/>
      <w:r>
        <w:rPr>
          <w:color w:val="000000"/>
          <w:spacing w:val="0"/>
          <w:w w:val="100"/>
          <w:position w:val="0"/>
        </w:rPr>
        <w:t>病史资料；</w:t>
      </w:r>
    </w:p>
    <w:p>
      <w:pPr>
        <w:pStyle w:val="13"/>
        <w:keepNext w:val="0"/>
        <w:keepLines w:val="0"/>
        <w:widowControl w:val="0"/>
        <w:numPr>
          <w:ilvl w:val="0"/>
          <w:numId w:val="6"/>
        </w:numPr>
        <w:shd w:val="clear" w:color="auto" w:fill="auto"/>
        <w:tabs>
          <w:tab w:val="left" w:pos="977"/>
        </w:tabs>
        <w:bidi w:val="0"/>
        <w:spacing w:before="0" w:after="0" w:line="679" w:lineRule="exact"/>
        <w:ind w:left="580" w:right="0" w:firstLine="0"/>
        <w:jc w:val="both"/>
      </w:pPr>
      <w:bookmarkStart w:id="49" w:name="bookmark73"/>
      <w:bookmarkEnd w:id="49"/>
      <w:r>
        <w:rPr>
          <w:color w:val="000000"/>
          <w:spacing w:val="0"/>
          <w:w w:val="100"/>
          <w:position w:val="0"/>
        </w:rPr>
        <w:t>病理组织学、骨髓细胞形态学诊断、影像学检查或可靠的 肿瘤标志确诊报告；</w:t>
      </w:r>
    </w:p>
    <w:p>
      <w:pPr>
        <w:pStyle w:val="13"/>
        <w:keepNext w:val="0"/>
        <w:keepLines w:val="0"/>
        <w:widowControl w:val="0"/>
        <w:numPr>
          <w:ilvl w:val="0"/>
          <w:numId w:val="6"/>
        </w:numPr>
        <w:shd w:val="clear" w:color="auto" w:fill="auto"/>
        <w:tabs>
          <w:tab w:val="left" w:pos="977"/>
        </w:tabs>
        <w:bidi w:val="0"/>
        <w:spacing w:before="0" w:after="0" w:line="664" w:lineRule="exact"/>
        <w:ind w:left="0" w:right="0" w:firstLine="580"/>
        <w:jc w:val="both"/>
      </w:pPr>
      <w:bookmarkStart w:id="50" w:name="bookmark74"/>
      <w:bookmarkEnd w:id="50"/>
      <w:r>
        <w:rPr>
          <w:color w:val="000000"/>
          <w:spacing w:val="0"/>
          <w:w w:val="100"/>
          <w:position w:val="0"/>
        </w:rPr>
        <w:t>定点医疗机构提供的具体放化疗、方案。</w:t>
      </w:r>
    </w:p>
    <w:p>
      <w:pPr>
        <w:pStyle w:val="13"/>
        <w:keepNext w:val="0"/>
        <w:keepLines w:val="0"/>
        <w:widowControl w:val="0"/>
        <w:shd w:val="clear" w:color="auto" w:fill="auto"/>
        <w:bidi w:val="0"/>
        <w:spacing w:before="0" w:after="0" w:line="664" w:lineRule="exact"/>
        <w:ind w:left="0" w:right="0" w:firstLine="580"/>
        <w:jc w:val="both"/>
      </w:pPr>
      <w:bookmarkStart w:id="51" w:name="bookmark75"/>
      <w:r>
        <w:rPr>
          <w:b/>
          <w:bCs/>
          <w:color w:val="000000"/>
          <w:spacing w:val="0"/>
          <w:w w:val="100"/>
          <w:position w:val="0"/>
        </w:rPr>
        <w:t>（</w:t>
      </w:r>
      <w:bookmarkEnd w:id="51"/>
      <w:r>
        <w:rPr>
          <w:b/>
          <w:bCs/>
          <w:color w:val="000000"/>
          <w:spacing w:val="0"/>
          <w:w w:val="100"/>
          <w:position w:val="0"/>
        </w:rPr>
        <w:t>二）白血病</w:t>
      </w:r>
    </w:p>
    <w:p>
      <w:pPr>
        <w:pStyle w:val="13"/>
        <w:keepNext w:val="0"/>
        <w:keepLines w:val="0"/>
        <w:widowControl w:val="0"/>
        <w:shd w:val="clear" w:color="auto" w:fill="auto"/>
        <w:bidi w:val="0"/>
        <w:spacing w:before="0" w:after="0" w:line="664" w:lineRule="exact"/>
        <w:ind w:left="0" w:right="0" w:firstLine="480"/>
        <w:jc w:val="both"/>
      </w:pPr>
      <w:r>
        <w:rPr>
          <w:color w:val="000000"/>
          <w:spacing w:val="0"/>
          <w:w w:val="100"/>
          <w:position w:val="0"/>
        </w:rPr>
        <w:t>须同时具备以下两项，1-2中任1项，3项必备：</w:t>
      </w:r>
      <w:r>
        <w:rPr>
          <w:color w:val="000000"/>
          <w:spacing w:val="0"/>
          <w:w w:val="100"/>
          <w:position w:val="0"/>
          <w:lang w:val="en-US" w:eastAsia="en-US" w:bidi="en-US"/>
        </w:rPr>
        <w:t>1.</w:t>
      </w:r>
      <w:r>
        <w:rPr>
          <w:color w:val="000000"/>
          <w:spacing w:val="0"/>
          <w:w w:val="100"/>
          <w:position w:val="0"/>
        </w:rPr>
        <w:t>体征：贫 血、出血、发热、肝脾肿大；2.血常规、血凝异常；3.骨穿、骨 髓检查：形态学（包括免疫组化检查）和组织学。</w:t>
      </w:r>
    </w:p>
    <w:p>
      <w:pPr>
        <w:pStyle w:val="13"/>
        <w:keepNext w:val="0"/>
        <w:keepLines w:val="0"/>
        <w:widowControl w:val="0"/>
        <w:shd w:val="clear" w:color="auto" w:fill="auto"/>
        <w:tabs>
          <w:tab w:val="left" w:pos="1338"/>
        </w:tabs>
        <w:bidi w:val="0"/>
        <w:spacing w:before="0" w:after="0" w:line="664" w:lineRule="exact"/>
        <w:ind w:left="0" w:right="0" w:firstLine="480"/>
        <w:jc w:val="both"/>
      </w:pPr>
      <w:bookmarkStart w:id="52" w:name="bookmark76"/>
      <w:r>
        <w:rPr>
          <w:b/>
          <w:bCs/>
          <w:color w:val="000000"/>
          <w:spacing w:val="0"/>
          <w:w w:val="100"/>
          <w:position w:val="0"/>
        </w:rPr>
        <w:t>（</w:t>
      </w:r>
      <w:bookmarkEnd w:id="52"/>
      <w:r>
        <w:rPr>
          <w:b/>
          <w:bCs/>
          <w:color w:val="000000"/>
          <w:spacing w:val="0"/>
          <w:w w:val="100"/>
          <w:position w:val="0"/>
        </w:rPr>
        <w:t>三）</w:t>
      </w:r>
      <w:r>
        <w:rPr>
          <w:b/>
          <w:bCs/>
          <w:color w:val="000000"/>
          <w:spacing w:val="0"/>
          <w:w w:val="100"/>
          <w:position w:val="0"/>
        </w:rPr>
        <w:tab/>
      </w:r>
      <w:r>
        <w:rPr>
          <w:b/>
          <w:bCs/>
          <w:color w:val="000000"/>
          <w:spacing w:val="0"/>
          <w:w w:val="100"/>
          <w:position w:val="0"/>
        </w:rPr>
        <w:t>骨髓增生异常综合征</w:t>
      </w:r>
    </w:p>
    <w:p>
      <w:pPr>
        <w:pStyle w:val="13"/>
        <w:keepNext w:val="0"/>
        <w:keepLines w:val="0"/>
        <w:widowControl w:val="0"/>
        <w:shd w:val="clear" w:color="auto" w:fill="auto"/>
        <w:bidi w:val="0"/>
        <w:spacing w:before="0" w:after="0" w:line="664" w:lineRule="exact"/>
        <w:ind w:left="0" w:right="0" w:firstLine="480"/>
        <w:jc w:val="both"/>
      </w:pPr>
      <w:r>
        <w:rPr>
          <w:color w:val="000000"/>
          <w:spacing w:val="0"/>
          <w:w w:val="100"/>
          <w:position w:val="0"/>
        </w:rPr>
        <w:t>须同时具备以下三项，其中1-4中任1项，5、6项必备：</w:t>
      </w:r>
      <w:r>
        <w:rPr>
          <w:color w:val="000000"/>
          <w:spacing w:val="0"/>
          <w:w w:val="100"/>
          <w:position w:val="0"/>
          <w:lang w:val="en-US" w:eastAsia="en-US" w:bidi="en-US"/>
        </w:rPr>
        <w:t xml:space="preserve">1. </w:t>
      </w:r>
      <w:r>
        <w:rPr>
          <w:color w:val="000000"/>
          <w:spacing w:val="0"/>
          <w:w w:val="100"/>
          <w:position w:val="0"/>
        </w:rPr>
        <w:t>病史；2.体检有或无以下体征：发热、皮肤粘膜苍白、皮肤出血 点及瘀斑、淋巴结及肝脾肿大、胸骨压痛等；3.全血细胞减少或 白细胞异常增高，以及贫血、血小板减少（包括血涂片）；</w:t>
      </w:r>
      <w:r>
        <w:rPr>
          <w:color w:val="000000"/>
          <w:spacing w:val="0"/>
          <w:w w:val="100"/>
          <w:position w:val="0"/>
          <w:lang w:val="en-US" w:eastAsia="en-US" w:bidi="en-US"/>
        </w:rPr>
        <w:t xml:space="preserve">4. </w:t>
      </w:r>
      <w:r>
        <w:rPr>
          <w:color w:val="000000"/>
          <w:spacing w:val="0"/>
          <w:w w:val="100"/>
          <w:position w:val="0"/>
        </w:rPr>
        <w:t>血细胞计数及分类；5.免疫分型；6.骨髓检查：形态学（包括免 疫组化检查）和组织学。</w:t>
      </w:r>
    </w:p>
    <w:p>
      <w:pPr>
        <w:pStyle w:val="13"/>
        <w:keepNext w:val="0"/>
        <w:keepLines w:val="0"/>
        <w:widowControl w:val="0"/>
        <w:shd w:val="clear" w:color="auto" w:fill="auto"/>
        <w:tabs>
          <w:tab w:val="left" w:pos="1338"/>
        </w:tabs>
        <w:bidi w:val="0"/>
        <w:spacing w:before="0" w:after="0" w:line="658" w:lineRule="exact"/>
        <w:ind w:left="0" w:right="0" w:firstLine="480"/>
        <w:jc w:val="both"/>
      </w:pPr>
      <w:bookmarkStart w:id="53" w:name="bookmark77"/>
      <w:r>
        <w:rPr>
          <w:b/>
          <w:bCs/>
          <w:color w:val="000000"/>
          <w:spacing w:val="0"/>
          <w:w w:val="100"/>
          <w:position w:val="0"/>
        </w:rPr>
        <w:t>（</w:t>
      </w:r>
      <w:bookmarkEnd w:id="53"/>
      <w:r>
        <w:rPr>
          <w:b/>
          <w:bCs/>
          <w:color w:val="000000"/>
          <w:spacing w:val="0"/>
          <w:w w:val="100"/>
          <w:position w:val="0"/>
        </w:rPr>
        <w:t>四）</w:t>
      </w:r>
      <w:r>
        <w:rPr>
          <w:b/>
          <w:bCs/>
          <w:color w:val="000000"/>
          <w:spacing w:val="0"/>
          <w:w w:val="100"/>
          <w:position w:val="0"/>
        </w:rPr>
        <w:tab/>
      </w:r>
      <w:r>
        <w:rPr>
          <w:b/>
          <w:bCs/>
          <w:color w:val="000000"/>
          <w:spacing w:val="0"/>
          <w:w w:val="100"/>
          <w:position w:val="0"/>
        </w:rPr>
        <w:t>血友病</w:t>
      </w:r>
    </w:p>
    <w:p>
      <w:pPr>
        <w:pStyle w:val="13"/>
        <w:keepNext w:val="0"/>
        <w:keepLines w:val="0"/>
        <w:widowControl w:val="0"/>
        <w:shd w:val="clear" w:color="auto" w:fill="auto"/>
        <w:bidi w:val="0"/>
        <w:spacing w:before="0" w:after="0" w:line="658" w:lineRule="exact"/>
        <w:ind w:left="0" w:right="0" w:firstLine="480"/>
        <w:jc w:val="both"/>
      </w:pPr>
      <w:r>
        <w:rPr>
          <w:color w:val="000000"/>
          <w:spacing w:val="0"/>
          <w:w w:val="100"/>
          <w:position w:val="0"/>
        </w:rPr>
        <w:t>1.男性自幼发病；2.自发性或轻度外伤后出血不止。常表现 为软组织、深部肌肉内血肿及负重关节反复出血；3.活化部分凝 血酶时间</w:t>
      </w:r>
      <w:r>
        <w:rPr>
          <w:color w:val="000000"/>
          <w:spacing w:val="0"/>
          <w:w w:val="100"/>
          <w:position w:val="0"/>
          <w:lang w:val="en-US" w:eastAsia="en-US" w:bidi="en-US"/>
        </w:rPr>
        <w:t>（APTT）</w:t>
      </w:r>
      <w:r>
        <w:rPr>
          <w:color w:val="000000"/>
          <w:spacing w:val="0"/>
          <w:w w:val="100"/>
          <w:position w:val="0"/>
        </w:rPr>
        <w:t>多数延长；4.初次定诊需测</w:t>
      </w:r>
      <w:r>
        <w:rPr>
          <w:color w:val="000000"/>
          <w:spacing w:val="0"/>
          <w:w w:val="100"/>
          <w:position w:val="0"/>
          <w:lang w:val="en-US" w:eastAsia="en-US" w:bidi="en-US"/>
        </w:rPr>
        <w:t>FVIII： C</w:t>
      </w:r>
      <w:r>
        <w:rPr>
          <w:color w:val="000000"/>
          <w:spacing w:val="0"/>
          <w:w w:val="100"/>
          <w:position w:val="0"/>
        </w:rPr>
        <w:t>水平明</w:t>
      </w:r>
    </w:p>
    <w:p>
      <w:pPr>
        <w:pStyle w:val="13"/>
        <w:keepNext w:val="0"/>
        <w:keepLines w:val="0"/>
        <w:widowControl w:val="0"/>
        <w:shd w:val="clear" w:color="auto" w:fill="auto"/>
        <w:bidi w:val="0"/>
        <w:spacing w:before="0" w:after="0" w:line="664" w:lineRule="exact"/>
        <w:ind w:left="0" w:right="0" w:firstLine="0"/>
        <w:jc w:val="left"/>
      </w:pPr>
      <w:r>
        <w:rPr>
          <w:color w:val="000000"/>
          <w:spacing w:val="0"/>
          <w:w w:val="100"/>
          <w:position w:val="0"/>
        </w:rPr>
        <w:t>显低下；</w:t>
      </w:r>
      <w:r>
        <w:rPr>
          <w:color w:val="000000"/>
          <w:spacing w:val="0"/>
          <w:w w:val="100"/>
          <w:position w:val="0"/>
          <w:lang w:val="en-US" w:eastAsia="en-US" w:bidi="en-US"/>
        </w:rPr>
        <w:t>5.</w:t>
      </w:r>
      <w:r>
        <w:rPr>
          <w:color w:val="000000"/>
          <w:spacing w:val="0"/>
          <w:w w:val="100"/>
          <w:position w:val="0"/>
        </w:rPr>
        <w:t>以住院病历确诊为依据进行评定。</w:t>
      </w:r>
    </w:p>
    <w:p>
      <w:pPr>
        <w:pStyle w:val="27"/>
        <w:keepNext/>
        <w:keepLines/>
        <w:widowControl w:val="0"/>
        <w:shd w:val="clear" w:color="auto" w:fill="auto"/>
        <w:bidi w:val="0"/>
        <w:spacing w:before="0" w:after="0" w:line="664" w:lineRule="exact"/>
        <w:ind w:left="0" w:right="0" w:firstLine="500"/>
        <w:jc w:val="both"/>
      </w:pPr>
      <w:bookmarkStart w:id="54" w:name="bookmark80"/>
      <w:bookmarkStart w:id="55" w:name="bookmark79"/>
      <w:bookmarkStart w:id="56" w:name="bookmark81"/>
      <w:bookmarkStart w:id="57" w:name="bookmark78"/>
      <w:r>
        <w:rPr>
          <w:color w:val="000000"/>
          <w:spacing w:val="0"/>
          <w:w w:val="100"/>
          <w:position w:val="0"/>
        </w:rPr>
        <w:t>（</w:t>
      </w:r>
      <w:bookmarkEnd w:id="54"/>
      <w:r>
        <w:rPr>
          <w:color w:val="000000"/>
          <w:spacing w:val="0"/>
          <w:w w:val="100"/>
          <w:position w:val="0"/>
        </w:rPr>
        <w:t>五）原发性血小板减少性紫瘢</w:t>
      </w:r>
      <w:bookmarkEnd w:id="55"/>
      <w:bookmarkEnd w:id="56"/>
      <w:bookmarkEnd w:id="57"/>
    </w:p>
    <w:p>
      <w:pPr>
        <w:pStyle w:val="13"/>
        <w:keepNext w:val="0"/>
        <w:keepLines w:val="0"/>
        <w:widowControl w:val="0"/>
        <w:shd w:val="clear" w:color="auto" w:fill="auto"/>
        <w:bidi w:val="0"/>
        <w:spacing w:before="0" w:after="0" w:line="664" w:lineRule="exact"/>
        <w:ind w:left="0" w:right="0" w:firstLine="500"/>
        <w:jc w:val="both"/>
      </w:pPr>
      <w:r>
        <w:rPr>
          <w:color w:val="000000"/>
          <w:spacing w:val="0"/>
          <w:w w:val="100"/>
          <w:position w:val="0"/>
        </w:rPr>
        <w:t>须同时具备以下三项：</w:t>
      </w:r>
      <w:r>
        <w:rPr>
          <w:color w:val="000000"/>
          <w:spacing w:val="0"/>
          <w:w w:val="100"/>
          <w:position w:val="0"/>
          <w:lang w:val="en-US" w:eastAsia="en-US" w:bidi="en-US"/>
        </w:rPr>
        <w:t>1.</w:t>
      </w:r>
      <w:r>
        <w:rPr>
          <w:color w:val="000000"/>
          <w:spacing w:val="0"/>
          <w:w w:val="100"/>
          <w:position w:val="0"/>
        </w:rPr>
        <w:t xml:space="preserve">病史；2.血小板计数减少（包括血 涂片）；血小板平均体积偏大；出血时间延长；血块收缩不良； </w:t>
      </w:r>
      <w:r>
        <w:rPr>
          <w:color w:val="000000"/>
          <w:spacing w:val="0"/>
          <w:w w:val="100"/>
          <w:position w:val="0"/>
          <w:lang w:val="en-US" w:eastAsia="en-US" w:bidi="en-US"/>
        </w:rPr>
        <w:t>3.</w:t>
      </w:r>
      <w:r>
        <w:rPr>
          <w:color w:val="000000"/>
          <w:spacing w:val="0"/>
          <w:w w:val="100"/>
          <w:position w:val="0"/>
        </w:rPr>
        <w:t>骨髓检查巨核细胞数增多或正常，有成熟障碍。</w:t>
      </w:r>
    </w:p>
    <w:p>
      <w:pPr>
        <w:pStyle w:val="27"/>
        <w:keepNext/>
        <w:keepLines/>
        <w:widowControl w:val="0"/>
        <w:shd w:val="clear" w:color="auto" w:fill="auto"/>
        <w:tabs>
          <w:tab w:val="left" w:pos="1513"/>
        </w:tabs>
        <w:bidi w:val="0"/>
        <w:spacing w:before="0" w:after="0" w:line="664" w:lineRule="exact"/>
        <w:ind w:left="0" w:right="0" w:firstLine="660"/>
        <w:jc w:val="both"/>
      </w:pPr>
      <w:bookmarkStart w:id="58" w:name="bookmark84"/>
      <w:bookmarkStart w:id="59" w:name="bookmark82"/>
      <w:bookmarkStart w:id="60" w:name="bookmark83"/>
      <w:bookmarkStart w:id="61" w:name="bookmark85"/>
      <w:r>
        <w:rPr>
          <w:color w:val="000000"/>
          <w:spacing w:val="0"/>
          <w:w w:val="100"/>
          <w:position w:val="0"/>
        </w:rPr>
        <w:t>（</w:t>
      </w:r>
      <w:bookmarkEnd w:id="58"/>
      <w:r>
        <w:rPr>
          <w:color w:val="000000"/>
          <w:spacing w:val="0"/>
          <w:w w:val="100"/>
          <w:position w:val="0"/>
        </w:rPr>
        <w:t>六）</w:t>
      </w:r>
      <w:r>
        <w:rPr>
          <w:color w:val="000000"/>
          <w:spacing w:val="0"/>
          <w:w w:val="100"/>
          <w:position w:val="0"/>
        </w:rPr>
        <w:tab/>
      </w:r>
      <w:r>
        <w:rPr>
          <w:color w:val="000000"/>
          <w:spacing w:val="0"/>
          <w:w w:val="100"/>
          <w:position w:val="0"/>
        </w:rPr>
        <w:t>脑瘫</w:t>
      </w:r>
      <w:bookmarkEnd w:id="59"/>
      <w:bookmarkEnd w:id="60"/>
      <w:bookmarkEnd w:id="61"/>
    </w:p>
    <w:p>
      <w:pPr>
        <w:pStyle w:val="13"/>
        <w:keepNext w:val="0"/>
        <w:keepLines w:val="0"/>
        <w:widowControl w:val="0"/>
        <w:shd w:val="clear" w:color="auto" w:fill="auto"/>
        <w:bidi w:val="0"/>
        <w:spacing w:before="0" w:after="0" w:line="664" w:lineRule="exact"/>
        <w:ind w:left="0" w:right="0" w:firstLine="660"/>
        <w:jc w:val="both"/>
      </w:pPr>
      <w:r>
        <w:rPr>
          <w:color w:val="000000"/>
          <w:spacing w:val="0"/>
          <w:w w:val="100"/>
          <w:position w:val="0"/>
        </w:rPr>
        <w:t>须同时具备以下任两项：1.发育迟缓；2.肌力、肌张力异常;</w:t>
      </w:r>
    </w:p>
    <w:p>
      <w:pPr>
        <w:pStyle w:val="13"/>
        <w:keepNext w:val="0"/>
        <w:keepLines w:val="0"/>
        <w:widowControl w:val="0"/>
        <w:shd w:val="clear" w:color="auto" w:fill="auto"/>
        <w:bidi w:val="0"/>
        <w:spacing w:before="0" w:after="0" w:line="677" w:lineRule="exact"/>
        <w:ind w:left="0" w:right="0" w:firstLine="0"/>
        <w:jc w:val="left"/>
      </w:pPr>
      <w:r>
        <w:rPr>
          <w:color w:val="000000"/>
          <w:spacing w:val="0"/>
          <w:w w:val="100"/>
          <w:position w:val="0"/>
        </w:rPr>
        <w:t>3.存在异常姿势；4.测评量表功能区存在不同程度落后；</w:t>
      </w:r>
      <w:r>
        <w:rPr>
          <w:color w:val="000000"/>
          <w:spacing w:val="0"/>
          <w:w w:val="100"/>
          <w:position w:val="0"/>
          <w:lang w:val="en-US" w:eastAsia="en-US" w:bidi="en-US"/>
        </w:rPr>
        <w:t>5.</w:t>
      </w:r>
      <w:r>
        <w:rPr>
          <w:color w:val="000000"/>
          <w:spacing w:val="0"/>
          <w:w w:val="100"/>
          <w:position w:val="0"/>
        </w:rPr>
        <w:t>经康 复治疗后临床症状好转，具有康复价值。</w:t>
      </w:r>
    </w:p>
    <w:p>
      <w:pPr>
        <w:pStyle w:val="27"/>
        <w:keepNext/>
        <w:keepLines/>
        <w:widowControl w:val="0"/>
        <w:shd w:val="clear" w:color="auto" w:fill="auto"/>
        <w:tabs>
          <w:tab w:val="left" w:pos="1518"/>
        </w:tabs>
        <w:bidi w:val="0"/>
        <w:spacing w:before="0" w:after="0" w:line="677" w:lineRule="exact"/>
        <w:ind w:left="0" w:right="0" w:firstLine="660"/>
        <w:jc w:val="both"/>
      </w:pPr>
      <w:bookmarkStart w:id="62" w:name="bookmark88"/>
      <w:bookmarkStart w:id="63" w:name="bookmark87"/>
      <w:bookmarkStart w:id="64" w:name="bookmark86"/>
      <w:bookmarkStart w:id="65" w:name="bookmark89"/>
      <w:r>
        <w:rPr>
          <w:color w:val="000000"/>
          <w:spacing w:val="0"/>
          <w:w w:val="100"/>
          <w:position w:val="0"/>
        </w:rPr>
        <w:t>（</w:t>
      </w:r>
      <w:bookmarkEnd w:id="62"/>
      <w:r>
        <w:rPr>
          <w:color w:val="000000"/>
          <w:spacing w:val="0"/>
          <w:w w:val="100"/>
          <w:position w:val="0"/>
        </w:rPr>
        <w:t>七）</w:t>
      </w:r>
      <w:r>
        <w:rPr>
          <w:color w:val="000000"/>
          <w:spacing w:val="0"/>
          <w:w w:val="100"/>
          <w:position w:val="0"/>
        </w:rPr>
        <w:tab/>
      </w:r>
      <w:r>
        <w:rPr>
          <w:color w:val="000000"/>
          <w:spacing w:val="0"/>
          <w:w w:val="100"/>
          <w:position w:val="0"/>
        </w:rPr>
        <w:t>器官移植抗排异治疗</w:t>
      </w:r>
      <w:bookmarkEnd w:id="63"/>
      <w:bookmarkEnd w:id="64"/>
      <w:bookmarkEnd w:id="65"/>
    </w:p>
    <w:p>
      <w:pPr>
        <w:pStyle w:val="13"/>
        <w:keepNext w:val="0"/>
        <w:keepLines w:val="0"/>
        <w:widowControl w:val="0"/>
        <w:shd w:val="clear" w:color="auto" w:fill="auto"/>
        <w:bidi w:val="0"/>
        <w:spacing w:before="0" w:after="0" w:line="670" w:lineRule="exact"/>
        <w:ind w:left="0" w:right="0" w:firstLine="500"/>
        <w:jc w:val="both"/>
      </w:pPr>
      <w:r>
        <w:rPr>
          <w:color w:val="000000"/>
          <w:spacing w:val="0"/>
          <w:w w:val="100"/>
          <w:position w:val="0"/>
        </w:rPr>
        <w:t>须同时具备以下两项：1.病史资料；2.肝、肾、骨髓、心脏、 肺移植住院病历复印件。</w:t>
      </w:r>
    </w:p>
    <w:p>
      <w:pPr>
        <w:pStyle w:val="13"/>
        <w:keepNext w:val="0"/>
        <w:keepLines w:val="0"/>
        <w:widowControl w:val="0"/>
        <w:shd w:val="clear" w:color="auto" w:fill="auto"/>
        <w:tabs>
          <w:tab w:val="left" w:pos="1518"/>
        </w:tabs>
        <w:bidi w:val="0"/>
        <w:spacing w:before="0" w:after="0" w:line="664" w:lineRule="exact"/>
        <w:ind w:left="0" w:right="0" w:firstLine="660"/>
        <w:jc w:val="both"/>
      </w:pPr>
      <w:bookmarkStart w:id="66" w:name="bookmark90"/>
      <w:r>
        <w:rPr>
          <w:b/>
          <w:bCs/>
          <w:color w:val="000000"/>
          <w:spacing w:val="0"/>
          <w:w w:val="100"/>
          <w:position w:val="0"/>
        </w:rPr>
        <w:t>（</w:t>
      </w:r>
      <w:bookmarkEnd w:id="66"/>
      <w:r>
        <w:rPr>
          <w:b/>
          <w:bCs/>
          <w:color w:val="000000"/>
          <w:spacing w:val="0"/>
          <w:w w:val="100"/>
          <w:position w:val="0"/>
        </w:rPr>
        <w:t>八）</w:t>
      </w:r>
      <w:r>
        <w:rPr>
          <w:b/>
          <w:bCs/>
          <w:color w:val="000000"/>
          <w:spacing w:val="0"/>
          <w:w w:val="100"/>
          <w:position w:val="0"/>
        </w:rPr>
        <w:tab/>
      </w:r>
      <w:r>
        <w:rPr>
          <w:b/>
          <w:bCs/>
          <w:color w:val="000000"/>
          <w:spacing w:val="0"/>
          <w:w w:val="100"/>
          <w:position w:val="0"/>
        </w:rPr>
        <w:t>血管支架移植术后</w:t>
      </w:r>
    </w:p>
    <w:p>
      <w:pPr>
        <w:pStyle w:val="13"/>
        <w:keepNext w:val="0"/>
        <w:keepLines w:val="0"/>
        <w:widowControl w:val="0"/>
        <w:shd w:val="clear" w:color="auto" w:fill="auto"/>
        <w:bidi w:val="0"/>
        <w:spacing w:before="0" w:after="0" w:line="648" w:lineRule="exact"/>
        <w:ind w:left="0" w:right="0" w:firstLine="660"/>
        <w:jc w:val="both"/>
      </w:pPr>
      <w:r>
        <w:rPr>
          <w:color w:val="000000"/>
          <w:spacing w:val="0"/>
          <w:w w:val="100"/>
          <w:position w:val="0"/>
        </w:rPr>
        <w:t>外周动脉（包括四肢、颈动脉、肾动脉、内脏动脉）、支架 植入术、人工血管弯路移植术后，需提供相应疾病的病历复印件。</w:t>
      </w:r>
    </w:p>
    <w:p>
      <w:pPr>
        <w:pStyle w:val="27"/>
        <w:keepNext/>
        <w:keepLines/>
        <w:widowControl w:val="0"/>
        <w:shd w:val="clear" w:color="auto" w:fill="auto"/>
        <w:tabs>
          <w:tab w:val="left" w:pos="1518"/>
        </w:tabs>
        <w:bidi w:val="0"/>
        <w:spacing w:before="0" w:after="0" w:line="648" w:lineRule="exact"/>
        <w:ind w:left="0" w:right="0" w:firstLine="660"/>
        <w:jc w:val="both"/>
      </w:pPr>
      <w:bookmarkStart w:id="67" w:name="bookmark93"/>
      <w:bookmarkStart w:id="68" w:name="bookmark91"/>
      <w:bookmarkStart w:id="69" w:name="bookmark92"/>
      <w:bookmarkStart w:id="70" w:name="bookmark94"/>
      <w:r>
        <w:rPr>
          <w:color w:val="000000"/>
          <w:spacing w:val="0"/>
          <w:w w:val="100"/>
          <w:position w:val="0"/>
        </w:rPr>
        <w:t>（</w:t>
      </w:r>
      <w:bookmarkEnd w:id="67"/>
      <w:r>
        <w:rPr>
          <w:color w:val="000000"/>
          <w:spacing w:val="0"/>
          <w:w w:val="100"/>
          <w:position w:val="0"/>
        </w:rPr>
        <w:t>九）</w:t>
      </w:r>
      <w:r>
        <w:rPr>
          <w:color w:val="000000"/>
          <w:spacing w:val="0"/>
          <w:w w:val="100"/>
          <w:position w:val="0"/>
        </w:rPr>
        <w:tab/>
      </w:r>
      <w:r>
        <w:rPr>
          <w:color w:val="000000"/>
          <w:spacing w:val="0"/>
          <w:w w:val="100"/>
          <w:position w:val="0"/>
        </w:rPr>
        <w:t>心脏换瓣膜术后</w:t>
      </w:r>
      <w:bookmarkEnd w:id="68"/>
      <w:bookmarkEnd w:id="69"/>
      <w:bookmarkEnd w:id="70"/>
    </w:p>
    <w:p>
      <w:pPr>
        <w:pStyle w:val="13"/>
        <w:keepNext w:val="0"/>
        <w:keepLines w:val="0"/>
        <w:widowControl w:val="0"/>
        <w:shd w:val="clear" w:color="auto" w:fill="auto"/>
        <w:bidi w:val="0"/>
        <w:spacing w:before="0" w:after="0" w:line="672" w:lineRule="exact"/>
        <w:ind w:left="0" w:right="0" w:firstLine="660"/>
        <w:jc w:val="both"/>
      </w:pPr>
      <w:r>
        <w:rPr>
          <w:color w:val="000000"/>
          <w:spacing w:val="0"/>
          <w:w w:val="100"/>
          <w:position w:val="0"/>
        </w:rPr>
        <w:t>心脏瓣膜置换、心脏瓣膜成形术后，需提供相应疾病的病历 复印件。</w:t>
      </w:r>
    </w:p>
    <w:p>
      <w:pPr>
        <w:pStyle w:val="27"/>
        <w:keepNext/>
        <w:keepLines/>
        <w:widowControl w:val="0"/>
        <w:shd w:val="clear" w:color="auto" w:fill="auto"/>
        <w:bidi w:val="0"/>
        <w:spacing w:before="0" w:after="0" w:line="664" w:lineRule="exact"/>
        <w:ind w:left="0" w:right="0" w:firstLine="660"/>
        <w:jc w:val="both"/>
      </w:pPr>
      <w:bookmarkStart w:id="71" w:name="bookmark96"/>
      <w:bookmarkStart w:id="72" w:name="bookmark97"/>
      <w:bookmarkStart w:id="73" w:name="bookmark95"/>
      <w:r>
        <w:rPr>
          <w:color w:val="000000"/>
          <w:spacing w:val="0"/>
          <w:w w:val="100"/>
          <w:position w:val="0"/>
        </w:rPr>
        <w:t>（十）造血干细胞移植术后</w:t>
      </w:r>
      <w:bookmarkEnd w:id="71"/>
      <w:bookmarkEnd w:id="72"/>
      <w:bookmarkEnd w:id="73"/>
    </w:p>
    <w:p>
      <w:pPr>
        <w:pStyle w:val="13"/>
        <w:keepNext w:val="0"/>
        <w:keepLines w:val="0"/>
        <w:widowControl w:val="0"/>
        <w:shd w:val="clear" w:color="auto" w:fill="auto"/>
        <w:bidi w:val="0"/>
        <w:spacing w:before="0" w:after="0" w:line="664" w:lineRule="exact"/>
        <w:ind w:left="0" w:right="0" w:firstLine="660"/>
        <w:jc w:val="both"/>
      </w:pPr>
      <w:r>
        <w:rPr>
          <w:color w:val="000000"/>
          <w:spacing w:val="0"/>
          <w:w w:val="100"/>
          <w:position w:val="0"/>
        </w:rPr>
        <w:t>须同时具备以下两项：1.病史资料。2.造血干细胞移植住院</w:t>
      </w:r>
    </w:p>
    <w:p>
      <w:pPr>
        <w:pStyle w:val="13"/>
        <w:keepNext w:val="0"/>
        <w:keepLines w:val="0"/>
        <w:widowControl w:val="0"/>
        <w:shd w:val="clear" w:color="auto" w:fill="auto"/>
        <w:bidi w:val="0"/>
        <w:spacing w:before="0" w:after="0" w:line="653" w:lineRule="exact"/>
        <w:ind w:left="0" w:right="0" w:firstLine="0"/>
        <w:jc w:val="both"/>
      </w:pPr>
      <w:r>
        <w:rPr>
          <w:color w:val="000000"/>
          <w:spacing w:val="0"/>
          <w:w w:val="100"/>
          <w:position w:val="0"/>
        </w:rPr>
        <w:t>病历复印件。</w:t>
      </w:r>
    </w:p>
    <w:p>
      <w:pPr>
        <w:pStyle w:val="27"/>
        <w:keepNext/>
        <w:keepLines/>
        <w:widowControl w:val="0"/>
        <w:shd w:val="clear" w:color="auto" w:fill="auto"/>
        <w:bidi w:val="0"/>
        <w:spacing w:before="0" w:after="0" w:line="653" w:lineRule="exact"/>
        <w:ind w:left="0" w:right="0"/>
        <w:jc w:val="both"/>
      </w:pPr>
      <w:bookmarkStart w:id="74" w:name="bookmark98"/>
      <w:bookmarkStart w:id="75" w:name="bookmark99"/>
      <w:bookmarkStart w:id="76" w:name="bookmark100"/>
      <w:r>
        <w:rPr>
          <w:color w:val="000000"/>
          <w:spacing w:val="0"/>
          <w:w w:val="100"/>
          <w:position w:val="0"/>
        </w:rPr>
        <w:t>（十一）胃息肉内镜治疗</w:t>
      </w:r>
      <w:bookmarkEnd w:id="74"/>
      <w:bookmarkEnd w:id="75"/>
      <w:bookmarkEnd w:id="76"/>
    </w:p>
    <w:p>
      <w:pPr>
        <w:pStyle w:val="13"/>
        <w:keepNext w:val="0"/>
        <w:keepLines w:val="0"/>
        <w:widowControl w:val="0"/>
        <w:shd w:val="clear" w:color="auto" w:fill="auto"/>
        <w:bidi w:val="0"/>
        <w:spacing w:before="0" w:after="0" w:line="653" w:lineRule="exact"/>
        <w:ind w:left="0" w:right="0" w:firstLine="640"/>
        <w:jc w:val="both"/>
      </w:pPr>
      <w:r>
        <w:rPr>
          <w:color w:val="000000"/>
          <w:spacing w:val="0"/>
          <w:w w:val="100"/>
          <w:position w:val="0"/>
        </w:rPr>
        <w:t>内镜下息肉切除术</w:t>
      </w:r>
    </w:p>
    <w:p>
      <w:pPr>
        <w:pStyle w:val="13"/>
        <w:keepNext w:val="0"/>
        <w:keepLines w:val="0"/>
        <w:widowControl w:val="0"/>
        <w:numPr>
          <w:ilvl w:val="0"/>
          <w:numId w:val="7"/>
        </w:numPr>
        <w:shd w:val="clear" w:color="auto" w:fill="auto"/>
        <w:bidi w:val="0"/>
        <w:spacing w:before="0" w:after="0" w:line="653" w:lineRule="exact"/>
        <w:ind w:left="0" w:right="0" w:firstLine="320"/>
        <w:jc w:val="both"/>
      </w:pPr>
      <w:bookmarkStart w:id="77" w:name="bookmark101"/>
      <w:bookmarkEnd w:id="77"/>
      <w:r>
        <w:rPr>
          <w:color w:val="000000"/>
          <w:spacing w:val="0"/>
          <w:w w:val="100"/>
          <w:position w:val="0"/>
        </w:rPr>
        <w:t>胃息肉</w:t>
      </w:r>
      <w:r>
        <w:rPr>
          <w:color w:val="000000"/>
          <w:spacing w:val="0"/>
          <w:w w:val="100"/>
          <w:position w:val="0"/>
          <w:lang w:val="en-US" w:eastAsia="en-US" w:bidi="en-US"/>
        </w:rPr>
        <w:t>＜5mm,</w:t>
      </w:r>
      <w:r>
        <w:rPr>
          <w:color w:val="000000"/>
          <w:spacing w:val="0"/>
          <w:w w:val="100"/>
          <w:position w:val="0"/>
        </w:rPr>
        <w:t>且内镜放大示病变表面腺体、血管尚规则；</w:t>
      </w:r>
    </w:p>
    <w:p>
      <w:pPr>
        <w:pStyle w:val="13"/>
        <w:keepNext w:val="0"/>
        <w:keepLines w:val="0"/>
        <w:widowControl w:val="0"/>
        <w:numPr>
          <w:ilvl w:val="0"/>
          <w:numId w:val="7"/>
        </w:numPr>
        <w:shd w:val="clear" w:color="auto" w:fill="auto"/>
        <w:tabs>
          <w:tab w:val="left" w:pos="402"/>
        </w:tabs>
        <w:bidi w:val="0"/>
        <w:spacing w:before="0" w:after="0" w:line="689" w:lineRule="exact"/>
        <w:ind w:left="0" w:right="0" w:firstLine="0"/>
        <w:jc w:val="both"/>
      </w:pPr>
      <w:bookmarkStart w:id="78" w:name="bookmark102"/>
      <w:bookmarkEnd w:id="78"/>
      <w:r>
        <w:rPr>
          <w:color w:val="000000"/>
          <w:spacing w:val="0"/>
          <w:w w:val="100"/>
          <w:position w:val="0"/>
        </w:rPr>
        <w:t>胃息肉直径约</w:t>
      </w:r>
      <w:r>
        <w:rPr>
          <w:color w:val="000000"/>
          <w:spacing w:val="0"/>
          <w:w w:val="100"/>
          <w:position w:val="0"/>
          <w:lang w:val="en-US" w:eastAsia="en-US" w:bidi="en-US"/>
        </w:rPr>
        <w:t>5-10mm</w:t>
      </w:r>
      <w:r>
        <w:rPr>
          <w:color w:val="000000"/>
          <w:spacing w:val="0"/>
          <w:w w:val="100"/>
          <w:position w:val="0"/>
        </w:rPr>
        <w:t>，且内镜放大示病变表面腺体、血管尚规 则，可应用高频电圈套切除。</w:t>
      </w:r>
    </w:p>
    <w:p>
      <w:pPr>
        <w:pStyle w:val="13"/>
        <w:keepNext w:val="0"/>
        <w:keepLines w:val="0"/>
        <w:widowControl w:val="0"/>
        <w:shd w:val="clear" w:color="auto" w:fill="auto"/>
        <w:bidi w:val="0"/>
        <w:spacing w:before="0" w:after="0" w:line="653" w:lineRule="exact"/>
        <w:ind w:left="0" w:right="0" w:firstLine="640"/>
        <w:jc w:val="both"/>
      </w:pPr>
      <w:r>
        <w:rPr>
          <w:b/>
          <w:bCs/>
          <w:color w:val="000000"/>
          <w:spacing w:val="0"/>
          <w:w w:val="100"/>
          <w:position w:val="0"/>
        </w:rPr>
        <w:t>（十二）痔疮门诊手术治疗</w:t>
      </w:r>
    </w:p>
    <w:p>
      <w:pPr>
        <w:pStyle w:val="13"/>
        <w:keepNext w:val="0"/>
        <w:keepLines w:val="0"/>
        <w:widowControl w:val="0"/>
        <w:shd w:val="clear" w:color="auto" w:fill="auto"/>
        <w:bidi w:val="0"/>
        <w:spacing w:before="0" w:after="0" w:line="653" w:lineRule="exact"/>
        <w:ind w:left="0" w:right="0" w:firstLine="640"/>
        <w:jc w:val="both"/>
      </w:pPr>
      <w:r>
        <w:rPr>
          <w:color w:val="000000"/>
          <w:spacing w:val="0"/>
          <w:w w:val="100"/>
          <w:position w:val="0"/>
        </w:rPr>
        <w:t>已明确痔疮诊断，需要在门诊手术治疗的。</w:t>
      </w:r>
    </w:p>
    <w:p>
      <w:pPr>
        <w:pStyle w:val="27"/>
        <w:keepNext/>
        <w:keepLines/>
        <w:widowControl w:val="0"/>
        <w:shd w:val="clear" w:color="auto" w:fill="auto"/>
        <w:bidi w:val="0"/>
        <w:spacing w:before="0" w:after="0" w:line="653" w:lineRule="exact"/>
        <w:ind w:left="0" w:right="0"/>
        <w:jc w:val="both"/>
      </w:pPr>
      <w:bookmarkStart w:id="79" w:name="bookmark105"/>
      <w:bookmarkStart w:id="80" w:name="bookmark104"/>
      <w:bookmarkStart w:id="81" w:name="bookmark103"/>
      <w:r>
        <w:rPr>
          <w:color w:val="000000"/>
          <w:spacing w:val="0"/>
          <w:w w:val="100"/>
          <w:position w:val="0"/>
        </w:rPr>
        <w:t>（十三）肾、输尿管结石（体外冲击波碎石）</w:t>
      </w:r>
      <w:bookmarkEnd w:id="79"/>
      <w:bookmarkEnd w:id="80"/>
      <w:bookmarkEnd w:id="81"/>
    </w:p>
    <w:p>
      <w:pPr>
        <w:pStyle w:val="13"/>
        <w:keepNext w:val="0"/>
        <w:keepLines w:val="0"/>
        <w:widowControl w:val="0"/>
        <w:shd w:val="clear" w:color="auto" w:fill="auto"/>
        <w:bidi w:val="0"/>
        <w:spacing w:before="0" w:after="0" w:line="653" w:lineRule="exact"/>
        <w:ind w:left="0" w:right="0" w:firstLine="640"/>
        <w:jc w:val="both"/>
      </w:pPr>
      <w:r>
        <w:rPr>
          <w:color w:val="000000"/>
          <w:spacing w:val="0"/>
          <w:w w:val="100"/>
          <w:position w:val="0"/>
        </w:rPr>
        <w:t>已明确肾、输尿管结石诊断，需要在门诊进行体外冲击波碎 石治疗的。</w:t>
      </w:r>
    </w:p>
    <w:p>
      <w:pPr>
        <w:pStyle w:val="27"/>
        <w:keepNext/>
        <w:keepLines/>
        <w:widowControl w:val="0"/>
        <w:shd w:val="clear" w:color="auto" w:fill="auto"/>
        <w:bidi w:val="0"/>
        <w:spacing w:before="0" w:after="0" w:line="653" w:lineRule="exact"/>
        <w:ind w:left="0" w:right="0"/>
        <w:jc w:val="both"/>
      </w:pPr>
      <w:bookmarkStart w:id="82" w:name="bookmark107"/>
      <w:bookmarkStart w:id="83" w:name="bookmark106"/>
      <w:bookmarkStart w:id="84" w:name="bookmark108"/>
      <w:r>
        <w:rPr>
          <w:color w:val="000000"/>
          <w:spacing w:val="0"/>
          <w:w w:val="100"/>
          <w:position w:val="0"/>
        </w:rPr>
        <w:t>（十四）乳腺癌（内分泌治疗）</w:t>
      </w:r>
      <w:bookmarkEnd w:id="82"/>
      <w:bookmarkEnd w:id="83"/>
      <w:bookmarkEnd w:id="84"/>
    </w:p>
    <w:p>
      <w:pPr>
        <w:pStyle w:val="13"/>
        <w:keepNext w:val="0"/>
        <w:keepLines w:val="0"/>
        <w:widowControl w:val="0"/>
        <w:shd w:val="clear" w:color="auto" w:fill="auto"/>
        <w:bidi w:val="0"/>
        <w:spacing w:before="0" w:after="0" w:line="653" w:lineRule="exact"/>
        <w:ind w:left="0" w:right="0" w:firstLine="640"/>
        <w:jc w:val="both"/>
      </w:pPr>
      <w:r>
        <w:rPr>
          <w:color w:val="000000"/>
          <w:spacing w:val="0"/>
          <w:w w:val="100"/>
          <w:position w:val="0"/>
        </w:rPr>
        <w:t>同时具备以下三项：1.病史资料；2.病理组织学诊断，免疫 组化雌激素受体</w:t>
      </w:r>
      <w:r>
        <w:rPr>
          <w:color w:val="000000"/>
          <w:spacing w:val="0"/>
          <w:w w:val="100"/>
          <w:position w:val="0"/>
          <w:lang w:val="en-US" w:eastAsia="en-US" w:bidi="en-US"/>
        </w:rPr>
        <w:t>（ER）</w:t>
      </w:r>
      <w:r>
        <w:rPr>
          <w:color w:val="000000"/>
          <w:spacing w:val="0"/>
          <w:w w:val="100"/>
          <w:position w:val="0"/>
        </w:rPr>
        <w:t>、孕激素受体（</w:t>
      </w:r>
      <w:r>
        <w:rPr>
          <w:color w:val="000000"/>
          <w:spacing w:val="0"/>
          <w:w w:val="100"/>
          <w:position w:val="0"/>
          <w:lang w:val="en-US" w:eastAsia="en-US" w:bidi="en-US"/>
        </w:rPr>
        <w:t>PR</w:t>
      </w:r>
      <w:r>
        <w:rPr>
          <w:color w:val="000000"/>
          <w:spacing w:val="0"/>
          <w:w w:val="100"/>
          <w:position w:val="0"/>
        </w:rPr>
        <w:t>）同为阳性或其中一项 为阳性；3.定点医疗机构提供的内分泌治疗方案。</w:t>
      </w:r>
    </w:p>
    <w:p>
      <w:pPr>
        <w:pStyle w:val="27"/>
        <w:keepNext/>
        <w:keepLines/>
        <w:widowControl w:val="0"/>
        <w:shd w:val="clear" w:color="auto" w:fill="auto"/>
        <w:bidi w:val="0"/>
        <w:spacing w:before="0" w:after="0" w:line="653" w:lineRule="exact"/>
        <w:ind w:left="0" w:right="0"/>
        <w:jc w:val="both"/>
      </w:pPr>
      <w:bookmarkStart w:id="85" w:name="bookmark109"/>
      <w:bookmarkStart w:id="86" w:name="bookmark111"/>
      <w:bookmarkStart w:id="87" w:name="bookmark110"/>
      <w:r>
        <w:rPr>
          <w:color w:val="000000"/>
          <w:spacing w:val="0"/>
          <w:w w:val="100"/>
          <w:position w:val="0"/>
        </w:rPr>
        <w:t>（十五）前列腺癌（内分泌治疗）</w:t>
      </w:r>
      <w:bookmarkEnd w:id="85"/>
      <w:bookmarkEnd w:id="86"/>
      <w:bookmarkEnd w:id="87"/>
    </w:p>
    <w:p>
      <w:pPr>
        <w:pStyle w:val="13"/>
        <w:keepNext w:val="0"/>
        <w:keepLines w:val="0"/>
        <w:widowControl w:val="0"/>
        <w:shd w:val="clear" w:color="auto" w:fill="auto"/>
        <w:bidi w:val="0"/>
        <w:spacing w:before="0" w:after="0" w:line="653" w:lineRule="exact"/>
        <w:ind w:left="0" w:right="0" w:firstLine="640"/>
        <w:jc w:val="both"/>
      </w:pPr>
      <w:r>
        <w:rPr>
          <w:color w:val="000000"/>
          <w:spacing w:val="0"/>
          <w:w w:val="100"/>
          <w:position w:val="0"/>
        </w:rPr>
        <w:t>同时具备以下三项：1.病史资料；2.其中之一项：（1）病 理组织学诊断。（2）影像学检查或可靠的肿瘤标志确诊报告；</w:t>
      </w:r>
    </w:p>
    <w:p>
      <w:pPr>
        <w:pStyle w:val="13"/>
        <w:keepNext w:val="0"/>
        <w:keepLines w:val="0"/>
        <w:widowControl w:val="0"/>
        <w:numPr>
          <w:ilvl w:val="0"/>
          <w:numId w:val="7"/>
        </w:numPr>
        <w:shd w:val="clear" w:color="auto" w:fill="auto"/>
        <w:tabs>
          <w:tab w:val="left" w:pos="397"/>
        </w:tabs>
        <w:bidi w:val="0"/>
        <w:spacing w:before="0" w:after="0" w:line="653" w:lineRule="exact"/>
        <w:ind w:left="0" w:right="0" w:firstLine="0"/>
        <w:jc w:val="left"/>
      </w:pPr>
      <w:bookmarkStart w:id="88" w:name="bookmark112"/>
      <w:bookmarkEnd w:id="88"/>
      <w:r>
        <w:rPr>
          <w:color w:val="000000"/>
          <w:spacing w:val="0"/>
          <w:w w:val="100"/>
          <w:position w:val="0"/>
        </w:rPr>
        <w:t>定点医疗机构提供的内分泌治疗方案。</w:t>
      </w:r>
    </w:p>
    <w:p>
      <w:pPr>
        <w:pStyle w:val="13"/>
        <w:keepNext w:val="0"/>
        <w:keepLines w:val="0"/>
        <w:widowControl w:val="0"/>
        <w:shd w:val="clear" w:color="auto" w:fill="auto"/>
        <w:bidi w:val="0"/>
        <w:spacing w:before="0" w:after="0" w:line="653" w:lineRule="exact"/>
        <w:ind w:left="0" w:right="0" w:firstLine="640"/>
        <w:jc w:val="both"/>
      </w:pPr>
      <w:r>
        <w:rPr>
          <w:b/>
          <w:bCs/>
          <w:color w:val="000000"/>
          <w:spacing w:val="0"/>
          <w:w w:val="100"/>
          <w:position w:val="0"/>
        </w:rPr>
        <w:t>（十六）病毒性肝炎</w:t>
      </w:r>
    </w:p>
    <w:p>
      <w:pPr>
        <w:pStyle w:val="13"/>
        <w:keepNext w:val="0"/>
        <w:keepLines w:val="0"/>
        <w:widowControl w:val="0"/>
        <w:shd w:val="clear" w:color="auto" w:fill="auto"/>
        <w:bidi w:val="0"/>
        <w:spacing w:before="0" w:after="0" w:line="659" w:lineRule="exact"/>
        <w:ind w:left="0" w:right="0" w:firstLine="640"/>
        <w:jc w:val="both"/>
      </w:pPr>
      <w:r>
        <w:rPr>
          <w:color w:val="000000"/>
          <w:spacing w:val="0"/>
          <w:w w:val="100"/>
          <w:position w:val="0"/>
        </w:rPr>
        <w:t>同时具备以下（急性病毒性肝炎除外）三项：1.病毒标记物 阳性；2.肝功能检查中转氨酶超出正常范围；</w:t>
      </w:r>
      <w:r>
        <w:rPr>
          <w:color w:val="000000"/>
          <w:spacing w:val="0"/>
          <w:w w:val="100"/>
          <w:position w:val="0"/>
          <w:lang w:val="en-US" w:eastAsia="en-US" w:bidi="en-US"/>
        </w:rPr>
        <w:t>3.B</w:t>
      </w:r>
      <w:r>
        <w:rPr>
          <w:color w:val="000000"/>
          <w:spacing w:val="0"/>
          <w:w w:val="100"/>
          <w:position w:val="0"/>
        </w:rPr>
        <w:t>超、</w:t>
      </w:r>
      <w:r>
        <w:rPr>
          <w:color w:val="000000"/>
          <w:spacing w:val="0"/>
          <w:w w:val="100"/>
          <w:position w:val="0"/>
          <w:lang w:val="en-US" w:eastAsia="en-US" w:bidi="en-US"/>
        </w:rPr>
        <w:t xml:space="preserve">CT、MRI </w:t>
      </w:r>
      <w:r>
        <w:rPr>
          <w:color w:val="000000"/>
          <w:spacing w:val="0"/>
          <w:w w:val="100"/>
          <w:position w:val="0"/>
        </w:rPr>
        <w:t>检查提示慢性肝炎性改变。</w:t>
      </w:r>
    </w:p>
    <w:p>
      <w:pPr>
        <w:pStyle w:val="27"/>
        <w:keepNext/>
        <w:keepLines/>
        <w:widowControl w:val="0"/>
        <w:shd w:val="clear" w:color="auto" w:fill="auto"/>
        <w:bidi w:val="0"/>
        <w:spacing w:before="0" w:after="0"/>
        <w:ind w:left="0" w:right="0"/>
        <w:jc w:val="both"/>
      </w:pPr>
      <w:bookmarkStart w:id="89" w:name="bookmark113"/>
      <w:bookmarkStart w:id="90" w:name="bookmark115"/>
      <w:bookmarkStart w:id="91" w:name="bookmark114"/>
      <w:r>
        <w:rPr>
          <w:color w:val="000000"/>
          <w:spacing w:val="0"/>
          <w:w w:val="100"/>
          <w:position w:val="0"/>
        </w:rPr>
        <w:t>（十七）肝豆状核变性</w:t>
      </w:r>
      <w:bookmarkEnd w:id="89"/>
      <w:bookmarkEnd w:id="90"/>
      <w:bookmarkEnd w:id="91"/>
    </w:p>
    <w:p>
      <w:pPr>
        <w:pStyle w:val="13"/>
        <w:keepNext w:val="0"/>
        <w:keepLines w:val="0"/>
        <w:widowControl w:val="0"/>
        <w:shd w:val="clear" w:color="auto" w:fill="auto"/>
        <w:bidi w:val="0"/>
        <w:spacing w:before="0" w:after="0" w:line="659" w:lineRule="exact"/>
        <w:ind w:left="0" w:right="0" w:firstLine="480"/>
        <w:jc w:val="both"/>
      </w:pPr>
      <w:r>
        <w:rPr>
          <w:color w:val="000000"/>
          <w:spacing w:val="0"/>
          <w:w w:val="100"/>
          <w:position w:val="0"/>
        </w:rPr>
        <w:t>符合以下三项。</w:t>
      </w:r>
      <w:r>
        <w:rPr>
          <w:color w:val="000000"/>
          <w:spacing w:val="0"/>
          <w:w w:val="100"/>
          <w:position w:val="0"/>
          <w:lang w:val="en-US" w:eastAsia="en-US" w:bidi="en-US"/>
        </w:rPr>
        <w:t>1.</w:t>
      </w:r>
      <w:r>
        <w:rPr>
          <w:color w:val="000000"/>
          <w:spacing w:val="0"/>
          <w:w w:val="100"/>
          <w:position w:val="0"/>
        </w:rPr>
        <w:t>起病年龄:多在</w:t>
      </w:r>
      <w:r>
        <w:rPr>
          <w:color w:val="000000"/>
          <w:spacing w:val="0"/>
          <w:w w:val="100"/>
          <w:position w:val="0"/>
          <w:lang w:val="en-US" w:eastAsia="en-US" w:bidi="en-US"/>
        </w:rPr>
        <w:t>5-35</w:t>
      </w:r>
      <w:r>
        <w:rPr>
          <w:color w:val="000000"/>
          <w:spacing w:val="0"/>
          <w:w w:val="100"/>
          <w:position w:val="0"/>
        </w:rPr>
        <w:t>岁；2.肝病史或肝病 症状；3.神经精神症状；4.铜生化指标：（1）血清</w:t>
      </w:r>
      <w:r>
        <w:rPr>
          <w:color w:val="000000"/>
          <w:spacing w:val="0"/>
          <w:w w:val="100"/>
          <w:position w:val="0"/>
          <w:lang w:val="en-US" w:eastAsia="en-US" w:bidi="en-US"/>
        </w:rPr>
        <w:t xml:space="preserve">CP&lt; 200mg/L, </w:t>
      </w:r>
      <w:r>
        <w:rPr>
          <w:color w:val="000000"/>
          <w:spacing w:val="0"/>
          <w:w w:val="100"/>
          <w:position w:val="0"/>
        </w:rPr>
        <w:t>加上:①24小时尿铜》100卩</w:t>
      </w:r>
      <w:r>
        <w:rPr>
          <w:color w:val="000000"/>
          <w:spacing w:val="0"/>
          <w:w w:val="100"/>
          <w:position w:val="0"/>
          <w:lang w:val="en-US" w:eastAsia="en-US" w:bidi="en-US"/>
        </w:rPr>
        <w:t>g,</w:t>
      </w:r>
      <w:r>
        <w:rPr>
          <w:color w:val="000000"/>
          <w:spacing w:val="0"/>
          <w:w w:val="100"/>
          <w:position w:val="0"/>
        </w:rPr>
        <w:t>或②肝铜&gt; 250卩</w:t>
      </w:r>
      <w:r>
        <w:rPr>
          <w:color w:val="000000"/>
          <w:spacing w:val="0"/>
          <w:w w:val="100"/>
          <w:position w:val="0"/>
          <w:lang w:val="en-US" w:eastAsia="en-US" w:bidi="en-US"/>
        </w:rPr>
        <w:t>g/g（</w:t>
      </w:r>
      <w:r>
        <w:rPr>
          <w:color w:val="000000"/>
          <w:spacing w:val="0"/>
          <w:w w:val="100"/>
          <w:position w:val="0"/>
        </w:rPr>
        <w:t>肝干重）。 但如血清</w:t>
      </w:r>
      <w:r>
        <w:rPr>
          <w:color w:val="000000"/>
          <w:spacing w:val="0"/>
          <w:w w:val="100"/>
          <w:position w:val="0"/>
          <w:lang w:val="en-US" w:eastAsia="en-US" w:bidi="en-US"/>
        </w:rPr>
        <w:t>CP</w:t>
      </w:r>
      <w:r>
        <w:rPr>
          <w:color w:val="000000"/>
          <w:spacing w:val="0"/>
          <w:w w:val="100"/>
          <w:position w:val="0"/>
        </w:rPr>
        <w:t xml:space="preserve">为80~200 </w:t>
      </w:r>
      <w:r>
        <w:rPr>
          <w:color w:val="000000"/>
          <w:spacing w:val="0"/>
          <w:w w:val="100"/>
          <w:position w:val="0"/>
          <w:lang w:val="en-US" w:eastAsia="en-US" w:bidi="en-US"/>
        </w:rPr>
        <w:t>mg/L</w:t>
      </w:r>
      <w:r>
        <w:rPr>
          <w:color w:val="000000"/>
          <w:spacing w:val="0"/>
          <w:w w:val="100"/>
          <w:position w:val="0"/>
        </w:rPr>
        <w:t>需进一步复查；5.对疑诊</w:t>
      </w:r>
      <w:r>
        <w:rPr>
          <w:color w:val="000000"/>
          <w:spacing w:val="0"/>
          <w:w w:val="100"/>
          <w:position w:val="0"/>
          <w:lang w:val="en-US" w:eastAsia="en-US" w:bidi="en-US"/>
        </w:rPr>
        <w:t>WD</w:t>
      </w:r>
      <w:r>
        <w:rPr>
          <w:color w:val="000000"/>
          <w:spacing w:val="0"/>
          <w:w w:val="100"/>
          <w:position w:val="0"/>
        </w:rPr>
        <w:t>儿童可 予青霉胺负荷试验；6.疑为</w:t>
      </w:r>
      <w:r>
        <w:rPr>
          <w:color w:val="000000"/>
          <w:spacing w:val="0"/>
          <w:w w:val="100"/>
          <w:position w:val="0"/>
          <w:lang w:val="en-US" w:eastAsia="en-US" w:bidi="en-US"/>
        </w:rPr>
        <w:t>WD</w:t>
      </w:r>
      <w:r>
        <w:rPr>
          <w:color w:val="000000"/>
          <w:spacing w:val="0"/>
          <w:w w:val="100"/>
          <w:position w:val="0"/>
        </w:rPr>
        <w:t>患者其</w:t>
      </w:r>
      <w:r>
        <w:rPr>
          <w:color w:val="000000"/>
          <w:spacing w:val="0"/>
          <w:w w:val="100"/>
          <w:position w:val="0"/>
          <w:lang w:val="en-US" w:eastAsia="en-US" w:bidi="en-US"/>
        </w:rPr>
        <w:t>K-F</w:t>
      </w:r>
      <w:r>
        <w:rPr>
          <w:color w:val="000000"/>
          <w:spacing w:val="0"/>
          <w:w w:val="100"/>
          <w:position w:val="0"/>
        </w:rPr>
        <w:t xml:space="preserve">环须裂隙灯检查证实; </w:t>
      </w:r>
      <w:r>
        <w:rPr>
          <w:color w:val="000000"/>
          <w:spacing w:val="0"/>
          <w:w w:val="100"/>
          <w:position w:val="0"/>
          <w:lang w:val="en-US" w:eastAsia="en-US" w:bidi="en-US"/>
        </w:rPr>
        <w:t>7.</w:t>
      </w:r>
      <w:r>
        <w:rPr>
          <w:color w:val="000000"/>
          <w:spacing w:val="0"/>
          <w:w w:val="100"/>
          <w:position w:val="0"/>
        </w:rPr>
        <w:t>阳性家族史对诊断</w:t>
      </w:r>
      <w:r>
        <w:rPr>
          <w:color w:val="000000"/>
          <w:spacing w:val="0"/>
          <w:w w:val="100"/>
          <w:position w:val="0"/>
          <w:lang w:val="en-US" w:eastAsia="en-US" w:bidi="en-US"/>
        </w:rPr>
        <w:t>WD</w:t>
      </w:r>
      <w:r>
        <w:rPr>
          <w:color w:val="000000"/>
          <w:spacing w:val="0"/>
          <w:w w:val="100"/>
          <w:position w:val="0"/>
        </w:rPr>
        <w:t xml:space="preserve">有重要意义；8.患者具有锥体外系症状、 </w:t>
      </w:r>
      <w:r>
        <w:rPr>
          <w:color w:val="000000"/>
          <w:spacing w:val="0"/>
          <w:w w:val="100"/>
          <w:position w:val="0"/>
          <w:lang w:val="en-US" w:eastAsia="en-US" w:bidi="en-US"/>
        </w:rPr>
        <w:t>K-F</w:t>
      </w:r>
      <w:r>
        <w:rPr>
          <w:color w:val="000000"/>
          <w:spacing w:val="0"/>
          <w:w w:val="100"/>
          <w:position w:val="0"/>
        </w:rPr>
        <w:t>环阳性、血清</w:t>
      </w:r>
      <w:r>
        <w:rPr>
          <w:color w:val="000000"/>
          <w:spacing w:val="0"/>
          <w:w w:val="100"/>
          <w:position w:val="0"/>
          <w:lang w:val="en-US" w:eastAsia="en-US" w:bidi="en-US"/>
        </w:rPr>
        <w:t>CP</w:t>
      </w:r>
      <w:r>
        <w:rPr>
          <w:color w:val="000000"/>
          <w:spacing w:val="0"/>
          <w:w w:val="100"/>
          <w:position w:val="0"/>
        </w:rPr>
        <w:t>低于正常下限、加上24小时尿铜〉100卩</w:t>
      </w:r>
      <w:r>
        <w:rPr>
          <w:color w:val="000000"/>
          <w:spacing w:val="0"/>
          <w:w w:val="100"/>
          <w:position w:val="0"/>
          <w:lang w:val="en-US" w:eastAsia="en-US" w:bidi="en-US"/>
        </w:rPr>
        <w:t xml:space="preserve">g; </w:t>
      </w:r>
      <w:r>
        <w:rPr>
          <w:color w:val="000000"/>
          <w:spacing w:val="0"/>
          <w:w w:val="100"/>
          <w:position w:val="0"/>
        </w:rPr>
        <w:t>9.患者具有肝病症状，</w:t>
      </w:r>
      <w:r>
        <w:rPr>
          <w:color w:val="000000"/>
          <w:spacing w:val="0"/>
          <w:w w:val="100"/>
          <w:position w:val="0"/>
          <w:lang w:val="en-US" w:eastAsia="en-US" w:bidi="en-US"/>
        </w:rPr>
        <w:t>K-F</w:t>
      </w:r>
      <w:r>
        <w:rPr>
          <w:color w:val="000000"/>
          <w:spacing w:val="0"/>
          <w:w w:val="100"/>
          <w:position w:val="0"/>
        </w:rPr>
        <w:t>环阳性、血清</w:t>
      </w:r>
      <w:r>
        <w:rPr>
          <w:color w:val="000000"/>
          <w:spacing w:val="0"/>
          <w:w w:val="100"/>
          <w:position w:val="0"/>
          <w:lang w:val="en-US" w:eastAsia="en-US" w:bidi="en-US"/>
        </w:rPr>
        <w:t>CP</w:t>
      </w:r>
      <w:r>
        <w:rPr>
          <w:color w:val="000000"/>
          <w:spacing w:val="0"/>
          <w:w w:val="100"/>
          <w:position w:val="0"/>
        </w:rPr>
        <w:t>低于正常下限、加 上24小时尿铜〉100卩</w:t>
      </w:r>
      <w:r>
        <w:rPr>
          <w:color w:val="000000"/>
          <w:spacing w:val="0"/>
          <w:w w:val="100"/>
          <w:position w:val="0"/>
          <w:lang w:val="en-US" w:eastAsia="en-US" w:bidi="en-US"/>
        </w:rPr>
        <w:t>g; 10.</w:t>
      </w:r>
      <w:r>
        <w:rPr>
          <w:color w:val="000000"/>
          <w:spacing w:val="0"/>
          <w:w w:val="100"/>
          <w:position w:val="0"/>
        </w:rPr>
        <w:t>基因诊断。</w:t>
      </w:r>
    </w:p>
    <w:p>
      <w:pPr>
        <w:pStyle w:val="27"/>
        <w:keepNext/>
        <w:keepLines/>
        <w:widowControl w:val="0"/>
        <w:shd w:val="clear" w:color="auto" w:fill="auto"/>
        <w:bidi w:val="0"/>
        <w:spacing w:before="0" w:after="0"/>
        <w:ind w:left="0" w:right="0"/>
        <w:jc w:val="both"/>
      </w:pPr>
      <w:bookmarkStart w:id="92" w:name="bookmark116"/>
      <w:bookmarkStart w:id="93" w:name="bookmark118"/>
      <w:bookmarkStart w:id="94" w:name="bookmark117"/>
      <w:r>
        <w:rPr>
          <w:color w:val="000000"/>
          <w:spacing w:val="0"/>
          <w:w w:val="100"/>
          <w:position w:val="0"/>
        </w:rPr>
        <w:t>（十八）肝硬化</w:t>
      </w:r>
      <w:bookmarkEnd w:id="92"/>
      <w:bookmarkEnd w:id="93"/>
      <w:bookmarkEnd w:id="94"/>
    </w:p>
    <w:p>
      <w:pPr>
        <w:pStyle w:val="13"/>
        <w:keepNext w:val="0"/>
        <w:keepLines w:val="0"/>
        <w:widowControl w:val="0"/>
        <w:shd w:val="clear" w:color="auto" w:fill="auto"/>
        <w:bidi w:val="0"/>
        <w:spacing w:before="0" w:after="0" w:line="659" w:lineRule="exact"/>
        <w:ind w:left="0" w:right="0" w:firstLine="640"/>
        <w:jc w:val="both"/>
      </w:pPr>
      <w:r>
        <w:rPr>
          <w:color w:val="000000"/>
          <w:spacing w:val="0"/>
          <w:w w:val="100"/>
          <w:position w:val="0"/>
        </w:rPr>
        <w:t>同时具备以下三项：1.慢性肝病病史资料；2.有肝功减退和 门脉高压的临床表现；</w:t>
      </w:r>
      <w:r>
        <w:rPr>
          <w:color w:val="000000"/>
          <w:spacing w:val="0"/>
          <w:w w:val="100"/>
          <w:position w:val="0"/>
          <w:lang w:val="en-US" w:eastAsia="en-US" w:bidi="en-US"/>
        </w:rPr>
        <w:t>3.B</w:t>
      </w:r>
      <w:r>
        <w:rPr>
          <w:color w:val="000000"/>
          <w:spacing w:val="0"/>
          <w:w w:val="100"/>
          <w:position w:val="0"/>
        </w:rPr>
        <w:t>超、</w:t>
      </w:r>
      <w:r>
        <w:rPr>
          <w:color w:val="000000"/>
          <w:spacing w:val="0"/>
          <w:w w:val="100"/>
          <w:position w:val="0"/>
          <w:lang w:val="en-US" w:eastAsia="en-US" w:bidi="en-US"/>
        </w:rPr>
        <w:t>CT、MRI</w:t>
      </w:r>
      <w:r>
        <w:rPr>
          <w:color w:val="000000"/>
          <w:spacing w:val="0"/>
          <w:w w:val="100"/>
          <w:position w:val="0"/>
        </w:rPr>
        <w:t>等影像学依据。</w:t>
      </w:r>
    </w:p>
    <w:p>
      <w:pPr>
        <w:pStyle w:val="13"/>
        <w:keepNext w:val="0"/>
        <w:keepLines w:val="0"/>
        <w:widowControl w:val="0"/>
        <w:shd w:val="clear" w:color="auto" w:fill="auto"/>
        <w:bidi w:val="0"/>
        <w:spacing w:before="0" w:after="0" w:line="659" w:lineRule="exact"/>
        <w:ind w:left="0" w:right="0" w:firstLine="480"/>
        <w:jc w:val="both"/>
      </w:pPr>
      <w:r>
        <w:rPr>
          <w:b/>
          <w:bCs/>
          <w:color w:val="000000"/>
          <w:spacing w:val="0"/>
          <w:w w:val="100"/>
          <w:position w:val="0"/>
        </w:rPr>
        <w:t>（十九）肺结核</w:t>
      </w:r>
    </w:p>
    <w:p>
      <w:pPr>
        <w:pStyle w:val="27"/>
        <w:keepNext/>
        <w:keepLines/>
        <w:widowControl w:val="0"/>
        <w:shd w:val="clear" w:color="auto" w:fill="auto"/>
        <w:bidi w:val="0"/>
        <w:spacing w:before="0" w:after="0"/>
        <w:ind w:left="0" w:right="0"/>
        <w:jc w:val="both"/>
      </w:pPr>
      <w:bookmarkStart w:id="95" w:name="bookmark121"/>
      <w:bookmarkStart w:id="96" w:name="bookmark119"/>
      <w:bookmarkStart w:id="97" w:name="bookmark120"/>
      <w:bookmarkStart w:id="98" w:name="bookmark122"/>
      <w:r>
        <w:rPr>
          <w:color w:val="000000"/>
          <w:spacing w:val="0"/>
          <w:w w:val="100"/>
          <w:position w:val="0"/>
        </w:rPr>
        <w:t>1</w:t>
      </w:r>
      <w:bookmarkEnd w:id="95"/>
      <w:r>
        <w:rPr>
          <w:color w:val="000000"/>
          <w:spacing w:val="0"/>
          <w:w w:val="100"/>
          <w:position w:val="0"/>
        </w:rPr>
        <w:t>、普通肺结核：</w:t>
      </w:r>
      <w:bookmarkEnd w:id="96"/>
      <w:bookmarkEnd w:id="97"/>
      <w:bookmarkEnd w:id="98"/>
    </w:p>
    <w:p>
      <w:pPr>
        <w:pStyle w:val="13"/>
        <w:keepNext w:val="0"/>
        <w:keepLines w:val="0"/>
        <w:widowControl w:val="0"/>
        <w:shd w:val="clear" w:color="auto" w:fill="auto"/>
        <w:bidi w:val="0"/>
        <w:spacing w:before="0" w:after="0" w:line="659" w:lineRule="exact"/>
        <w:ind w:left="0" w:right="0" w:firstLine="480"/>
        <w:jc w:val="both"/>
      </w:pPr>
      <w:r>
        <w:rPr>
          <w:color w:val="000000"/>
          <w:spacing w:val="0"/>
          <w:w w:val="100"/>
          <w:position w:val="0"/>
        </w:rPr>
        <w:t>（1）确诊病例：符合下列两项条件之一的患者为确诊病例。</w:t>
      </w:r>
    </w:p>
    <w:p>
      <w:pPr>
        <w:pStyle w:val="13"/>
        <w:keepNext w:val="0"/>
        <w:keepLines w:val="0"/>
        <w:widowControl w:val="0"/>
        <w:shd w:val="clear" w:color="auto" w:fill="auto"/>
        <w:bidi w:val="0"/>
        <w:spacing w:before="0" w:after="0" w:line="659" w:lineRule="exact"/>
        <w:ind w:left="0" w:right="0" w:firstLine="0"/>
        <w:jc w:val="both"/>
        <w:sectPr>
          <w:headerReference r:id="rId49" w:type="first"/>
          <w:footerReference r:id="rId52" w:type="first"/>
          <w:headerReference r:id="rId47" w:type="default"/>
          <w:footerReference r:id="rId50" w:type="default"/>
          <w:headerReference r:id="rId48" w:type="even"/>
          <w:footerReference r:id="rId51" w:type="even"/>
          <w:footnotePr>
            <w:numFmt w:val="decimal"/>
          </w:footnotePr>
          <w:pgSz w:w="11900" w:h="16840"/>
          <w:pgMar w:top="1522" w:right="1365" w:bottom="1924" w:left="1484" w:header="0" w:footer="3" w:gutter="0"/>
          <w:cols w:space="720" w:num="1"/>
          <w:titlePg/>
          <w:rtlGutter w:val="0"/>
          <w:docGrid w:linePitch="360" w:charSpace="0"/>
        </w:sectPr>
      </w:pPr>
      <w:r>
        <w:rPr>
          <w:color w:val="000000"/>
          <w:spacing w:val="0"/>
          <w:w w:val="100"/>
          <w:position w:val="0"/>
        </w:rPr>
        <w:t xml:space="preserve">①患者痰标本、胸水或支气管肺泡灌洗液结核分枝杆菌病原学检 </w:t>
      </w:r>
    </w:p>
    <w:p>
      <w:pPr>
        <w:pStyle w:val="13"/>
        <w:keepNext w:val="0"/>
        <w:keepLines w:val="0"/>
        <w:widowControl w:val="0"/>
        <w:shd w:val="clear" w:color="auto" w:fill="auto"/>
        <w:bidi w:val="0"/>
        <w:spacing w:before="0" w:after="0" w:line="659" w:lineRule="exact"/>
        <w:ind w:left="0" w:right="0" w:firstLine="0"/>
        <w:jc w:val="both"/>
      </w:pPr>
      <w:r>
        <w:rPr>
          <w:color w:val="000000"/>
          <w:spacing w:val="0"/>
          <w:w w:val="100"/>
          <w:position w:val="0"/>
        </w:rPr>
        <w:t>查阳性；②支气管或肺部组织病理学证实结核病变（组织内发现 结核分枝杆菌病原）。</w:t>
      </w:r>
    </w:p>
    <w:p>
      <w:pPr>
        <w:pStyle w:val="13"/>
        <w:keepNext w:val="0"/>
        <w:keepLines w:val="0"/>
        <w:widowControl w:val="0"/>
        <w:shd w:val="clear" w:color="auto" w:fill="auto"/>
        <w:bidi w:val="0"/>
        <w:spacing w:before="0" w:after="0" w:line="667" w:lineRule="exact"/>
        <w:ind w:left="0" w:right="0" w:firstLine="500"/>
        <w:jc w:val="left"/>
      </w:pPr>
      <w:r>
        <w:rPr>
          <w:color w:val="000000"/>
          <w:spacing w:val="0"/>
          <w:w w:val="100"/>
          <w:position w:val="0"/>
        </w:rPr>
        <w:t>（2 ）临床诊断病例：患者无病原学或病理学检查阳性的依据, 通过临床表现，影像学、结核病相关辅助检查、诊断性治疗等综 合措施诊断为肺结核的患者。</w:t>
      </w:r>
    </w:p>
    <w:p>
      <w:pPr>
        <w:pStyle w:val="27"/>
        <w:keepNext/>
        <w:keepLines/>
        <w:widowControl w:val="0"/>
        <w:shd w:val="clear" w:color="auto" w:fill="auto"/>
        <w:tabs>
          <w:tab w:val="left" w:pos="1103"/>
        </w:tabs>
        <w:bidi w:val="0"/>
        <w:spacing w:before="0" w:after="0" w:line="667" w:lineRule="exact"/>
        <w:ind w:left="0" w:right="0"/>
        <w:jc w:val="both"/>
      </w:pPr>
      <w:bookmarkStart w:id="99" w:name="bookmark125"/>
      <w:bookmarkStart w:id="100" w:name="bookmark124"/>
      <w:bookmarkStart w:id="101" w:name="bookmark123"/>
      <w:bookmarkStart w:id="102" w:name="bookmark126"/>
      <w:r>
        <w:rPr>
          <w:color w:val="000000"/>
          <w:spacing w:val="0"/>
          <w:w w:val="100"/>
          <w:position w:val="0"/>
        </w:rPr>
        <w:t>2</w:t>
      </w:r>
      <w:bookmarkEnd w:id="99"/>
      <w:r>
        <w:rPr>
          <w:color w:val="000000"/>
          <w:spacing w:val="0"/>
          <w:w w:val="100"/>
          <w:position w:val="0"/>
        </w:rPr>
        <w:t>、</w:t>
      </w:r>
      <w:r>
        <w:rPr>
          <w:color w:val="000000"/>
          <w:spacing w:val="0"/>
          <w:w w:val="100"/>
          <w:position w:val="0"/>
        </w:rPr>
        <w:tab/>
      </w:r>
      <w:r>
        <w:rPr>
          <w:color w:val="000000"/>
          <w:spacing w:val="0"/>
          <w:w w:val="100"/>
          <w:position w:val="0"/>
        </w:rPr>
        <w:t>耐多药肺结核及利福平耐药肺结核</w:t>
      </w:r>
      <w:bookmarkEnd w:id="100"/>
      <w:bookmarkEnd w:id="101"/>
      <w:bookmarkEnd w:id="102"/>
    </w:p>
    <w:p>
      <w:pPr>
        <w:pStyle w:val="13"/>
        <w:keepNext w:val="0"/>
        <w:keepLines w:val="0"/>
        <w:widowControl w:val="0"/>
        <w:shd w:val="clear" w:color="auto" w:fill="auto"/>
        <w:bidi w:val="0"/>
        <w:spacing w:before="0" w:after="0" w:line="641" w:lineRule="exact"/>
        <w:ind w:left="0" w:right="0" w:firstLine="640"/>
        <w:jc w:val="both"/>
      </w:pPr>
      <w:r>
        <w:rPr>
          <w:color w:val="000000"/>
          <w:spacing w:val="0"/>
          <w:w w:val="100"/>
          <w:position w:val="0"/>
        </w:rPr>
        <w:t>耐多药肺结核：结核分枝杆菌对包括异烟肼、利福平同时耐 药在内的至少二种以上一线抗结核药物耐药。</w:t>
      </w:r>
    </w:p>
    <w:p>
      <w:pPr>
        <w:pStyle w:val="13"/>
        <w:keepNext w:val="0"/>
        <w:keepLines w:val="0"/>
        <w:widowControl w:val="0"/>
        <w:shd w:val="clear" w:color="auto" w:fill="auto"/>
        <w:bidi w:val="0"/>
        <w:spacing w:before="0" w:after="0" w:line="667" w:lineRule="exact"/>
        <w:ind w:left="0" w:right="0" w:firstLine="640"/>
        <w:jc w:val="both"/>
      </w:pPr>
      <w:r>
        <w:rPr>
          <w:color w:val="000000"/>
          <w:spacing w:val="0"/>
          <w:w w:val="100"/>
          <w:position w:val="0"/>
        </w:rPr>
        <w:t>利福平耐药肺结核：结核分枝杆菌对利福平耐药，无论对其 他抗结核药物是否耐药。</w:t>
      </w:r>
    </w:p>
    <w:p>
      <w:pPr>
        <w:pStyle w:val="27"/>
        <w:keepNext/>
        <w:keepLines/>
        <w:widowControl w:val="0"/>
        <w:shd w:val="clear" w:color="auto" w:fill="auto"/>
        <w:tabs>
          <w:tab w:val="left" w:pos="1103"/>
        </w:tabs>
        <w:bidi w:val="0"/>
        <w:spacing w:before="0" w:after="0" w:line="667" w:lineRule="exact"/>
        <w:ind w:left="0" w:right="0"/>
        <w:jc w:val="both"/>
      </w:pPr>
      <w:bookmarkStart w:id="103" w:name="bookmark129"/>
      <w:bookmarkStart w:id="104" w:name="bookmark128"/>
      <w:bookmarkStart w:id="105" w:name="bookmark127"/>
      <w:bookmarkStart w:id="106" w:name="bookmark130"/>
      <w:r>
        <w:rPr>
          <w:color w:val="000000"/>
          <w:spacing w:val="0"/>
          <w:w w:val="100"/>
          <w:position w:val="0"/>
        </w:rPr>
        <w:t>3</w:t>
      </w:r>
      <w:bookmarkEnd w:id="103"/>
      <w:r>
        <w:rPr>
          <w:color w:val="000000"/>
          <w:spacing w:val="0"/>
          <w:w w:val="100"/>
          <w:position w:val="0"/>
        </w:rPr>
        <w:t>、</w:t>
      </w:r>
      <w:r>
        <w:rPr>
          <w:color w:val="000000"/>
          <w:spacing w:val="0"/>
          <w:w w:val="100"/>
          <w:position w:val="0"/>
        </w:rPr>
        <w:tab/>
      </w:r>
      <w:r>
        <w:rPr>
          <w:color w:val="000000"/>
          <w:spacing w:val="0"/>
          <w:w w:val="100"/>
          <w:position w:val="0"/>
        </w:rPr>
        <w:t>广泛耐药肺结核</w:t>
      </w:r>
      <w:bookmarkEnd w:id="104"/>
      <w:bookmarkEnd w:id="105"/>
      <w:bookmarkEnd w:id="106"/>
    </w:p>
    <w:p>
      <w:pPr>
        <w:pStyle w:val="13"/>
        <w:keepNext w:val="0"/>
        <w:keepLines w:val="0"/>
        <w:widowControl w:val="0"/>
        <w:shd w:val="clear" w:color="auto" w:fill="auto"/>
        <w:bidi w:val="0"/>
        <w:spacing w:before="0" w:after="260" w:line="656" w:lineRule="exact"/>
        <w:ind w:left="0" w:right="0" w:firstLine="640"/>
        <w:jc w:val="both"/>
      </w:pPr>
      <w:r>
        <w:rPr>
          <w:color w:val="000000"/>
          <w:spacing w:val="0"/>
          <w:w w:val="100"/>
          <w:position w:val="0"/>
        </w:rPr>
        <w:t>结核分枝杆菌除对一线抗结核药物异烟肼、利福平同时耐药 外还对二线抗结核药物喹诺酮类抗生素中至少一种产生耐药，以 及三种注射药物（如卷曲霉素、卡那霉素、丁胺卡那霉素等）至 少一种耐药。</w:t>
      </w:r>
    </w:p>
    <w:p>
      <w:pPr>
        <w:pStyle w:val="13"/>
        <w:keepNext w:val="0"/>
        <w:keepLines w:val="0"/>
        <w:widowControl w:val="0"/>
        <w:shd w:val="clear" w:color="auto" w:fill="auto"/>
        <w:bidi w:val="0"/>
        <w:spacing w:before="0" w:after="0" w:line="240" w:lineRule="auto"/>
        <w:ind w:left="0" w:right="0" w:firstLine="320"/>
        <w:jc w:val="left"/>
      </w:pPr>
      <w:r>
        <w:rPr>
          <w:b/>
          <w:bCs/>
          <w:color w:val="000000"/>
          <w:spacing w:val="0"/>
          <w:w w:val="100"/>
          <w:position w:val="0"/>
        </w:rPr>
        <w:t>（二十）外阴白斑</w:t>
      </w:r>
    </w:p>
    <w:p>
      <w:pPr>
        <w:pStyle w:val="13"/>
        <w:keepNext w:val="0"/>
        <w:keepLines w:val="0"/>
        <w:widowControl w:val="0"/>
        <w:numPr>
          <w:ilvl w:val="0"/>
          <w:numId w:val="8"/>
        </w:numPr>
        <w:shd w:val="clear" w:color="auto" w:fill="auto"/>
        <w:tabs>
          <w:tab w:val="left" w:pos="867"/>
        </w:tabs>
        <w:bidi w:val="0"/>
        <w:spacing w:before="0" w:after="0" w:line="667" w:lineRule="exact"/>
        <w:ind w:left="0" w:right="0" w:firstLine="480"/>
        <w:jc w:val="both"/>
      </w:pPr>
      <w:bookmarkStart w:id="107" w:name="bookmark131"/>
      <w:bookmarkEnd w:id="107"/>
      <w:r>
        <w:rPr>
          <w:color w:val="000000"/>
          <w:spacing w:val="0"/>
          <w:w w:val="100"/>
          <w:position w:val="0"/>
        </w:rPr>
        <w:t>外阴皮肤和粘膜变白、变粗或萎缩；</w:t>
      </w:r>
    </w:p>
    <w:p>
      <w:pPr>
        <w:pStyle w:val="13"/>
        <w:keepNext w:val="0"/>
        <w:keepLines w:val="0"/>
        <w:widowControl w:val="0"/>
        <w:numPr>
          <w:ilvl w:val="0"/>
          <w:numId w:val="8"/>
        </w:numPr>
        <w:shd w:val="clear" w:color="auto" w:fill="auto"/>
        <w:tabs>
          <w:tab w:val="left" w:pos="877"/>
        </w:tabs>
        <w:bidi w:val="0"/>
        <w:spacing w:before="0" w:after="0" w:line="667" w:lineRule="exact"/>
        <w:ind w:left="0" w:right="0" w:firstLine="480"/>
        <w:jc w:val="both"/>
      </w:pPr>
      <w:bookmarkStart w:id="108" w:name="bookmark132"/>
      <w:bookmarkEnd w:id="108"/>
      <w:r>
        <w:rPr>
          <w:color w:val="000000"/>
          <w:spacing w:val="0"/>
          <w:w w:val="100"/>
          <w:position w:val="0"/>
        </w:rPr>
        <w:t>组织病理：</w:t>
      </w:r>
    </w:p>
    <w:p>
      <w:pPr>
        <w:pStyle w:val="13"/>
        <w:keepNext w:val="0"/>
        <w:keepLines w:val="0"/>
        <w:widowControl w:val="0"/>
        <w:shd w:val="clear" w:color="auto" w:fill="auto"/>
        <w:bidi w:val="0"/>
        <w:spacing w:before="0" w:after="0" w:line="667" w:lineRule="exact"/>
        <w:ind w:left="0" w:right="0" w:firstLine="500"/>
        <w:jc w:val="both"/>
      </w:pPr>
      <w:r>
        <w:rPr>
          <w:color w:val="000000"/>
          <w:spacing w:val="0"/>
          <w:w w:val="100"/>
          <w:position w:val="0"/>
        </w:rPr>
        <w:t>增生型：表皮角化过度，棘层肥厚，上皮嵴向下延伸，真皮 浅层有不同程度淋巴细胞和少数中性粒细胞浸润；</w:t>
      </w:r>
    </w:p>
    <w:p>
      <w:pPr>
        <w:pStyle w:val="13"/>
        <w:keepNext w:val="0"/>
        <w:keepLines w:val="0"/>
        <w:widowControl w:val="0"/>
        <w:shd w:val="clear" w:color="auto" w:fill="auto"/>
        <w:bidi w:val="0"/>
        <w:spacing w:before="0" w:after="0" w:line="648" w:lineRule="exact"/>
        <w:ind w:left="0" w:right="0" w:firstLine="480"/>
        <w:jc w:val="left"/>
      </w:pPr>
      <w:r>
        <w:rPr>
          <w:color w:val="000000"/>
          <w:spacing w:val="0"/>
          <w:w w:val="100"/>
          <w:position w:val="0"/>
        </w:rPr>
        <w:t>硬化苔藓型：表皮角化过度有角栓，表皮萎缩变薄基底细胞 液化变性，黑素细胞减少，上皮嶠变钝或消失，真皮浅层胶原纤 维均质化，真皮中层有淋巴细胞浸润带；</w:t>
      </w:r>
    </w:p>
    <w:p>
      <w:pPr>
        <w:pStyle w:val="13"/>
        <w:keepNext w:val="0"/>
        <w:keepLines w:val="0"/>
        <w:widowControl w:val="0"/>
        <w:shd w:val="clear" w:color="auto" w:fill="auto"/>
        <w:bidi w:val="0"/>
        <w:spacing w:before="0" w:after="0" w:line="659" w:lineRule="exact"/>
        <w:ind w:left="0" w:right="0" w:firstLine="480"/>
        <w:jc w:val="left"/>
      </w:pPr>
      <w:r>
        <w:rPr>
          <w:color w:val="000000"/>
          <w:spacing w:val="0"/>
          <w:w w:val="100"/>
          <w:position w:val="0"/>
        </w:rPr>
        <w:t>混合型：同时有上述两种类型病变存在。</w:t>
      </w:r>
    </w:p>
    <w:p>
      <w:pPr>
        <w:pStyle w:val="13"/>
        <w:keepNext w:val="0"/>
        <w:keepLines w:val="0"/>
        <w:widowControl w:val="0"/>
        <w:shd w:val="clear" w:color="auto" w:fill="auto"/>
        <w:bidi w:val="0"/>
        <w:spacing w:before="0" w:after="0" w:line="659" w:lineRule="exact"/>
        <w:ind w:left="0" w:right="0" w:firstLine="480"/>
        <w:jc w:val="left"/>
      </w:pPr>
      <w:r>
        <w:rPr>
          <w:b/>
          <w:bCs/>
          <w:color w:val="000000"/>
          <w:spacing w:val="0"/>
          <w:w w:val="100"/>
          <w:position w:val="0"/>
        </w:rPr>
        <w:t>（二十一）肾功能不全透析治疗</w:t>
      </w:r>
    </w:p>
    <w:p>
      <w:pPr>
        <w:pStyle w:val="13"/>
        <w:keepNext w:val="0"/>
        <w:keepLines w:val="0"/>
        <w:widowControl w:val="0"/>
        <w:numPr>
          <w:ilvl w:val="0"/>
          <w:numId w:val="9"/>
        </w:numPr>
        <w:shd w:val="clear" w:color="auto" w:fill="auto"/>
        <w:bidi w:val="0"/>
        <w:spacing w:before="0" w:after="0" w:line="650" w:lineRule="exact"/>
        <w:ind w:left="0" w:right="0" w:firstLine="640"/>
        <w:jc w:val="left"/>
      </w:pPr>
      <w:bookmarkStart w:id="109" w:name="bookmark133"/>
      <w:bookmarkEnd w:id="109"/>
      <w:r>
        <w:rPr>
          <w:color w:val="000000"/>
          <w:spacing w:val="0"/>
          <w:w w:val="100"/>
          <w:position w:val="0"/>
        </w:rPr>
        <w:t>慢性肾功能不全的病史资料；2.辅助检查依据：血肌酐、 尿素氮升高，肌酐大于</w:t>
      </w:r>
      <w:r>
        <w:rPr>
          <w:color w:val="000000"/>
          <w:spacing w:val="0"/>
          <w:w w:val="100"/>
          <w:position w:val="0"/>
          <w:lang w:val="en-US" w:eastAsia="en-US" w:bidi="en-US"/>
        </w:rPr>
        <w:t>707mmol/L</w:t>
      </w:r>
      <w:r>
        <w:rPr>
          <w:color w:val="000000"/>
          <w:spacing w:val="0"/>
          <w:w w:val="100"/>
          <w:position w:val="0"/>
        </w:rPr>
        <w:t>或肌酐清除率小于</w:t>
      </w:r>
      <w:r>
        <w:rPr>
          <w:color w:val="000000"/>
          <w:spacing w:val="0"/>
          <w:w w:val="100"/>
          <w:position w:val="0"/>
          <w:lang w:val="en-US" w:eastAsia="en-US" w:bidi="en-US"/>
        </w:rPr>
        <w:t>10ml/min。</w:t>
      </w:r>
    </w:p>
    <w:p>
      <w:pPr>
        <w:pStyle w:val="27"/>
        <w:keepNext/>
        <w:keepLines/>
        <w:widowControl w:val="0"/>
        <w:shd w:val="clear" w:color="auto" w:fill="auto"/>
        <w:bidi w:val="0"/>
        <w:spacing w:before="0" w:after="0" w:line="667" w:lineRule="exact"/>
        <w:ind w:left="0" w:right="0" w:firstLine="480"/>
        <w:jc w:val="left"/>
      </w:pPr>
      <w:bookmarkStart w:id="110" w:name="bookmark135"/>
      <w:bookmarkStart w:id="111" w:name="bookmark134"/>
      <w:bookmarkStart w:id="112" w:name="bookmark136"/>
      <w:r>
        <w:rPr>
          <w:color w:val="000000"/>
          <w:spacing w:val="0"/>
          <w:w w:val="100"/>
          <w:position w:val="0"/>
        </w:rPr>
        <w:t>（二十二）肾病综合征</w:t>
      </w:r>
      <w:bookmarkEnd w:id="110"/>
      <w:bookmarkEnd w:id="111"/>
      <w:bookmarkEnd w:id="112"/>
    </w:p>
    <w:p>
      <w:pPr>
        <w:pStyle w:val="13"/>
        <w:keepNext w:val="0"/>
        <w:keepLines w:val="0"/>
        <w:widowControl w:val="0"/>
        <w:shd w:val="clear" w:color="auto" w:fill="auto"/>
        <w:bidi w:val="0"/>
        <w:spacing w:before="0" w:after="0" w:line="667" w:lineRule="exact"/>
        <w:ind w:left="480" w:right="0" w:firstLine="160"/>
        <w:jc w:val="left"/>
      </w:pPr>
      <w:r>
        <w:rPr>
          <w:color w:val="000000"/>
          <w:spacing w:val="0"/>
          <w:w w:val="100"/>
          <w:position w:val="0"/>
        </w:rPr>
        <w:t>临床表现为大量蛋白尿、低蛋白血症、高度水肿、高脂血症。 辅助检查依据：</w:t>
      </w:r>
    </w:p>
    <w:p>
      <w:pPr>
        <w:pStyle w:val="13"/>
        <w:keepNext w:val="0"/>
        <w:keepLines w:val="0"/>
        <w:widowControl w:val="0"/>
        <w:numPr>
          <w:ilvl w:val="0"/>
          <w:numId w:val="10"/>
        </w:numPr>
        <w:shd w:val="clear" w:color="auto" w:fill="auto"/>
        <w:tabs>
          <w:tab w:val="left" w:pos="1027"/>
        </w:tabs>
        <w:bidi w:val="0"/>
        <w:spacing w:before="0" w:after="0" w:line="659" w:lineRule="exact"/>
        <w:ind w:left="480" w:right="0" w:firstLine="160"/>
        <w:jc w:val="left"/>
      </w:pPr>
      <w:bookmarkStart w:id="113" w:name="bookmark137"/>
      <w:bookmarkEnd w:id="113"/>
      <w:r>
        <w:rPr>
          <w:color w:val="000000"/>
          <w:spacing w:val="0"/>
          <w:w w:val="100"/>
          <w:position w:val="0"/>
        </w:rPr>
        <w:t>大量蛋白尿（成人大于</w:t>
      </w:r>
      <w:r>
        <w:rPr>
          <w:color w:val="000000"/>
          <w:spacing w:val="0"/>
          <w:w w:val="100"/>
          <w:position w:val="0"/>
          <w:lang w:val="en-US" w:eastAsia="en-US" w:bidi="en-US"/>
        </w:rPr>
        <w:t>3. 5g/d</w:t>
      </w:r>
      <w:r>
        <w:rPr>
          <w:color w:val="000000"/>
          <w:spacing w:val="0"/>
          <w:w w:val="100"/>
          <w:position w:val="0"/>
        </w:rPr>
        <w:t>、儿童大于</w:t>
      </w:r>
      <w:r>
        <w:rPr>
          <w:color w:val="000000"/>
          <w:spacing w:val="0"/>
          <w:w w:val="100"/>
          <w:position w:val="0"/>
          <w:lang w:val="en-US" w:eastAsia="en-US" w:bidi="en-US"/>
        </w:rPr>
        <w:t>50mg/kg. d</w:t>
      </w:r>
      <w:r>
        <w:rPr>
          <w:color w:val="000000"/>
          <w:spacing w:val="0"/>
          <w:w w:val="100"/>
          <w:position w:val="0"/>
        </w:rPr>
        <w:t>）；</w:t>
      </w:r>
    </w:p>
    <w:p>
      <w:pPr>
        <w:pStyle w:val="13"/>
        <w:keepNext w:val="0"/>
        <w:keepLines w:val="0"/>
        <w:widowControl w:val="0"/>
        <w:numPr>
          <w:ilvl w:val="0"/>
          <w:numId w:val="10"/>
        </w:numPr>
        <w:shd w:val="clear" w:color="auto" w:fill="auto"/>
        <w:tabs>
          <w:tab w:val="left" w:pos="1037"/>
        </w:tabs>
        <w:bidi w:val="0"/>
        <w:spacing w:before="0" w:after="0" w:line="659" w:lineRule="exact"/>
        <w:ind w:left="480" w:right="0" w:firstLine="160"/>
        <w:jc w:val="left"/>
      </w:pPr>
      <w:bookmarkStart w:id="114" w:name="bookmark138"/>
      <w:bookmarkEnd w:id="114"/>
      <w:r>
        <w:rPr>
          <w:color w:val="000000"/>
          <w:spacing w:val="0"/>
          <w:w w:val="100"/>
          <w:position w:val="0"/>
        </w:rPr>
        <w:t>低蛋白血症（血清白蛋白</w:t>
      </w:r>
      <w:r>
        <w:rPr>
          <w:color w:val="000000"/>
          <w:spacing w:val="0"/>
          <w:w w:val="100"/>
          <w:position w:val="0"/>
          <w:lang w:val="en-US" w:eastAsia="en-US" w:bidi="en-US"/>
        </w:rPr>
        <w:t>＜30g/L）</w:t>
      </w:r>
      <w:r>
        <w:rPr>
          <w:color w:val="000000"/>
          <w:spacing w:val="0"/>
          <w:w w:val="100"/>
          <w:position w:val="0"/>
        </w:rPr>
        <w:t>；</w:t>
      </w:r>
    </w:p>
    <w:p>
      <w:pPr>
        <w:pStyle w:val="13"/>
        <w:keepNext w:val="0"/>
        <w:keepLines w:val="0"/>
        <w:widowControl w:val="0"/>
        <w:shd w:val="clear" w:color="auto" w:fill="auto"/>
        <w:bidi w:val="0"/>
        <w:spacing w:before="0" w:after="0" w:line="659" w:lineRule="exact"/>
        <w:ind w:left="0" w:right="0" w:firstLine="480"/>
        <w:jc w:val="left"/>
      </w:pPr>
      <w:r>
        <w:rPr>
          <w:color w:val="000000"/>
          <w:spacing w:val="0"/>
          <w:w w:val="100"/>
          <w:position w:val="0"/>
        </w:rPr>
        <w:t>原发肾病综合征需要进行肾活检，明确病理诊断。</w:t>
      </w:r>
    </w:p>
    <w:p>
      <w:pPr>
        <w:pStyle w:val="13"/>
        <w:keepNext w:val="0"/>
        <w:keepLines w:val="0"/>
        <w:widowControl w:val="0"/>
        <w:shd w:val="clear" w:color="auto" w:fill="auto"/>
        <w:bidi w:val="0"/>
        <w:spacing w:before="0" w:after="0" w:line="659" w:lineRule="exact"/>
        <w:ind w:left="0" w:right="0" w:firstLine="480"/>
        <w:jc w:val="left"/>
      </w:pPr>
      <w:r>
        <w:rPr>
          <w:color w:val="000000"/>
          <w:spacing w:val="0"/>
          <w:w w:val="100"/>
          <w:position w:val="0"/>
        </w:rPr>
        <w:t>前两项为诊断必需条件。</w:t>
      </w:r>
    </w:p>
    <w:p>
      <w:pPr>
        <w:pStyle w:val="27"/>
        <w:keepNext/>
        <w:keepLines/>
        <w:widowControl w:val="0"/>
        <w:shd w:val="clear" w:color="auto" w:fill="auto"/>
        <w:bidi w:val="0"/>
        <w:spacing w:before="0" w:after="0"/>
        <w:ind w:left="0" w:right="0"/>
        <w:jc w:val="left"/>
      </w:pPr>
      <w:bookmarkStart w:id="115" w:name="bookmark139"/>
      <w:bookmarkStart w:id="116" w:name="bookmark140"/>
      <w:bookmarkStart w:id="117" w:name="bookmark141"/>
      <w:r>
        <w:rPr>
          <w:color w:val="000000"/>
          <w:spacing w:val="0"/>
          <w:w w:val="100"/>
          <w:position w:val="0"/>
        </w:rPr>
        <w:t>（二十三）血吸虫病</w:t>
      </w:r>
      <w:bookmarkEnd w:id="115"/>
      <w:bookmarkEnd w:id="116"/>
      <w:bookmarkEnd w:id="117"/>
    </w:p>
    <w:p>
      <w:pPr>
        <w:pStyle w:val="13"/>
        <w:keepNext w:val="0"/>
        <w:keepLines w:val="0"/>
        <w:widowControl w:val="0"/>
        <w:numPr>
          <w:ilvl w:val="0"/>
          <w:numId w:val="11"/>
        </w:numPr>
        <w:shd w:val="clear" w:color="auto" w:fill="auto"/>
        <w:bidi w:val="0"/>
        <w:spacing w:before="0" w:after="0" w:line="659" w:lineRule="exact"/>
        <w:ind w:left="0" w:right="0" w:firstLine="640"/>
        <w:jc w:val="left"/>
      </w:pPr>
      <w:bookmarkStart w:id="118" w:name="bookmark142"/>
      <w:bookmarkEnd w:id="118"/>
      <w:r>
        <w:rPr>
          <w:color w:val="000000"/>
          <w:spacing w:val="0"/>
          <w:w w:val="100"/>
          <w:position w:val="0"/>
        </w:rPr>
        <w:t>急性血吸虫病（满足3项）</w:t>
      </w:r>
    </w:p>
    <w:p>
      <w:pPr>
        <w:pStyle w:val="13"/>
        <w:keepNext w:val="0"/>
        <w:keepLines w:val="0"/>
        <w:widowControl w:val="0"/>
        <w:shd w:val="clear" w:color="auto" w:fill="auto"/>
        <w:bidi w:val="0"/>
        <w:spacing w:before="0" w:after="0" w:line="659" w:lineRule="exact"/>
        <w:ind w:left="0" w:right="0" w:firstLine="320"/>
        <w:jc w:val="both"/>
      </w:pPr>
      <w:r>
        <w:rPr>
          <w:color w:val="000000"/>
          <w:spacing w:val="0"/>
          <w:w w:val="100"/>
          <w:position w:val="0"/>
        </w:rPr>
        <w:t>（1 ）发病前2周至3个月有疫水接触史；</w:t>
      </w:r>
    </w:p>
    <w:p>
      <w:pPr>
        <w:pStyle w:val="13"/>
        <w:keepNext w:val="0"/>
        <w:keepLines w:val="0"/>
        <w:widowControl w:val="0"/>
        <w:shd w:val="clear" w:color="auto" w:fill="auto"/>
        <w:bidi w:val="0"/>
        <w:spacing w:before="0" w:after="0" w:line="677" w:lineRule="exact"/>
        <w:ind w:left="0" w:right="0" w:firstLine="320"/>
        <w:jc w:val="both"/>
      </w:pPr>
      <w:r>
        <w:rPr>
          <w:color w:val="000000"/>
          <w:spacing w:val="0"/>
          <w:w w:val="100"/>
          <w:position w:val="0"/>
        </w:rPr>
        <w:t>（2）发热、肝脏肿大与周围血液嗜酸粒细胞增多为主要特征, 伴有肝区压痛、脾肿大、咳嗽、腹胀及腹泻等；</w:t>
      </w:r>
    </w:p>
    <w:p>
      <w:pPr>
        <w:pStyle w:val="13"/>
        <w:keepNext w:val="0"/>
        <w:keepLines w:val="0"/>
        <w:widowControl w:val="0"/>
        <w:shd w:val="clear" w:color="auto" w:fill="auto"/>
        <w:bidi w:val="0"/>
        <w:spacing w:before="0" w:after="0" w:line="659" w:lineRule="exact"/>
        <w:ind w:left="0" w:right="0" w:firstLine="480"/>
        <w:jc w:val="left"/>
        <w:sectPr>
          <w:headerReference r:id="rId55" w:type="first"/>
          <w:footerReference r:id="rId58" w:type="first"/>
          <w:headerReference r:id="rId53" w:type="default"/>
          <w:footerReference r:id="rId56" w:type="default"/>
          <w:headerReference r:id="rId54" w:type="even"/>
          <w:footerReference r:id="rId57" w:type="even"/>
          <w:footnotePr>
            <w:numFmt w:val="decimal"/>
          </w:footnotePr>
          <w:pgSz w:w="11900" w:h="16840"/>
          <w:pgMar w:top="1522" w:right="1365" w:bottom="1924" w:left="1484" w:header="0" w:footer="3" w:gutter="0"/>
          <w:cols w:space="720" w:num="1"/>
          <w:titlePg/>
          <w:rtlGutter w:val="0"/>
          <w:docGrid w:linePitch="360" w:charSpace="0"/>
        </w:sectPr>
      </w:pPr>
      <w:r>
        <w:rPr>
          <w:color w:val="000000"/>
          <w:spacing w:val="0"/>
          <w:w w:val="100"/>
          <w:position w:val="0"/>
        </w:rPr>
        <w:t>（3）粪检查获血吸虫卵或毛蝴。</w:t>
      </w:r>
    </w:p>
    <w:p>
      <w:pPr>
        <w:pStyle w:val="13"/>
        <w:keepNext w:val="0"/>
        <w:keepLines w:val="0"/>
        <w:widowControl w:val="0"/>
        <w:numPr>
          <w:ilvl w:val="0"/>
          <w:numId w:val="11"/>
        </w:numPr>
        <w:shd w:val="clear" w:color="auto" w:fill="auto"/>
        <w:bidi w:val="0"/>
        <w:spacing w:before="0" w:after="0" w:line="667" w:lineRule="exact"/>
        <w:ind w:left="0" w:right="0" w:firstLine="640"/>
        <w:jc w:val="both"/>
      </w:pPr>
      <w:bookmarkStart w:id="119" w:name="bookmark143"/>
      <w:bookmarkEnd w:id="119"/>
      <w:r>
        <w:rPr>
          <w:color w:val="000000"/>
          <w:spacing w:val="0"/>
          <w:w w:val="100"/>
          <w:position w:val="0"/>
        </w:rPr>
        <w:t>慢性血吸虫病（满足3项）</w:t>
      </w:r>
    </w:p>
    <w:p>
      <w:pPr>
        <w:pStyle w:val="13"/>
        <w:keepNext w:val="0"/>
        <w:keepLines w:val="0"/>
        <w:widowControl w:val="0"/>
        <w:shd w:val="clear" w:color="auto" w:fill="auto"/>
        <w:tabs>
          <w:tab w:val="left" w:pos="1206"/>
        </w:tabs>
        <w:bidi w:val="0"/>
        <w:spacing w:before="0" w:after="0" w:line="667" w:lineRule="exact"/>
        <w:ind w:left="0" w:right="0" w:firstLine="480"/>
        <w:jc w:val="both"/>
      </w:pPr>
      <w:bookmarkStart w:id="120" w:name="bookmark144"/>
      <w:r>
        <w:rPr>
          <w:color w:val="000000"/>
          <w:spacing w:val="0"/>
          <w:w w:val="100"/>
          <w:position w:val="0"/>
        </w:rPr>
        <w:t>（</w:t>
      </w:r>
      <w:bookmarkEnd w:id="120"/>
      <w:r>
        <w:rPr>
          <w:color w:val="000000"/>
          <w:spacing w:val="0"/>
          <w:w w:val="100"/>
          <w:position w:val="0"/>
        </w:rPr>
        <w:t>1）</w:t>
      </w:r>
      <w:r>
        <w:rPr>
          <w:color w:val="000000"/>
          <w:spacing w:val="0"/>
          <w:w w:val="100"/>
          <w:position w:val="0"/>
        </w:rPr>
        <w:tab/>
      </w:r>
      <w:r>
        <w:rPr>
          <w:color w:val="000000"/>
          <w:spacing w:val="0"/>
          <w:w w:val="100"/>
          <w:position w:val="0"/>
        </w:rPr>
        <w:t>居住在流行区或曾到过流行区有疫水接触史；</w:t>
      </w:r>
    </w:p>
    <w:p>
      <w:pPr>
        <w:pStyle w:val="13"/>
        <w:keepNext w:val="0"/>
        <w:keepLines w:val="0"/>
        <w:widowControl w:val="0"/>
        <w:shd w:val="clear" w:color="auto" w:fill="auto"/>
        <w:tabs>
          <w:tab w:val="left" w:pos="1294"/>
        </w:tabs>
        <w:bidi w:val="0"/>
        <w:spacing w:before="0" w:after="0" w:line="672" w:lineRule="exact"/>
        <w:ind w:left="0" w:right="0" w:firstLine="480"/>
        <w:jc w:val="both"/>
      </w:pPr>
      <w:bookmarkStart w:id="121" w:name="bookmark145"/>
      <w:r>
        <w:rPr>
          <w:color w:val="000000"/>
          <w:spacing w:val="0"/>
          <w:w w:val="100"/>
          <w:position w:val="0"/>
        </w:rPr>
        <w:t>（</w:t>
      </w:r>
      <w:bookmarkEnd w:id="121"/>
      <w:r>
        <w:rPr>
          <w:color w:val="000000"/>
          <w:spacing w:val="0"/>
          <w:w w:val="100"/>
          <w:position w:val="0"/>
        </w:rPr>
        <w:t>2）</w:t>
      </w:r>
      <w:r>
        <w:rPr>
          <w:color w:val="000000"/>
          <w:spacing w:val="0"/>
          <w:w w:val="100"/>
          <w:position w:val="0"/>
        </w:rPr>
        <w:tab/>
      </w:r>
      <w:r>
        <w:rPr>
          <w:color w:val="000000"/>
          <w:spacing w:val="0"/>
          <w:w w:val="100"/>
          <w:position w:val="0"/>
        </w:rPr>
        <w:t>无症状，或间有腹痛、腹泻或脓血便。多数伴有以左叶 为主的肝脏肿大，少数伴脾脏肿大；</w:t>
      </w:r>
    </w:p>
    <w:p>
      <w:pPr>
        <w:pStyle w:val="13"/>
        <w:keepNext w:val="0"/>
        <w:keepLines w:val="0"/>
        <w:widowControl w:val="0"/>
        <w:shd w:val="clear" w:color="auto" w:fill="auto"/>
        <w:tabs>
          <w:tab w:val="left" w:pos="1304"/>
        </w:tabs>
        <w:bidi w:val="0"/>
        <w:spacing w:before="0" w:after="0" w:line="672" w:lineRule="exact"/>
        <w:ind w:left="0" w:right="0" w:firstLine="480"/>
        <w:jc w:val="both"/>
      </w:pPr>
      <w:bookmarkStart w:id="122" w:name="bookmark146"/>
      <w:r>
        <w:rPr>
          <w:color w:val="000000"/>
          <w:spacing w:val="0"/>
          <w:w w:val="100"/>
          <w:position w:val="0"/>
        </w:rPr>
        <w:t>（</w:t>
      </w:r>
      <w:bookmarkEnd w:id="122"/>
      <w:r>
        <w:rPr>
          <w:color w:val="000000"/>
          <w:spacing w:val="0"/>
          <w:w w:val="100"/>
          <w:position w:val="0"/>
        </w:rPr>
        <w:t>3）</w:t>
      </w:r>
      <w:r>
        <w:rPr>
          <w:color w:val="000000"/>
          <w:spacing w:val="0"/>
          <w:w w:val="100"/>
          <w:position w:val="0"/>
        </w:rPr>
        <w:tab/>
      </w:r>
      <w:r>
        <w:rPr>
          <w:color w:val="000000"/>
          <w:spacing w:val="0"/>
          <w:w w:val="100"/>
          <w:position w:val="0"/>
        </w:rPr>
        <w:t>粪检查获血吸虫卵或毛蝴，或直肠活检无治疗史者发现 血吸虫卵，有治疗史者发现活卵或近期变性虫卵。</w:t>
      </w:r>
    </w:p>
    <w:p>
      <w:pPr>
        <w:pStyle w:val="13"/>
        <w:keepNext w:val="0"/>
        <w:keepLines w:val="0"/>
        <w:widowControl w:val="0"/>
        <w:numPr>
          <w:ilvl w:val="0"/>
          <w:numId w:val="11"/>
        </w:numPr>
        <w:shd w:val="clear" w:color="auto" w:fill="auto"/>
        <w:bidi w:val="0"/>
        <w:spacing w:before="0" w:after="0" w:line="667" w:lineRule="exact"/>
        <w:ind w:left="0" w:right="0" w:firstLine="820"/>
        <w:jc w:val="both"/>
      </w:pPr>
      <w:bookmarkStart w:id="123" w:name="bookmark147"/>
      <w:bookmarkEnd w:id="123"/>
      <w:r>
        <w:rPr>
          <w:color w:val="000000"/>
          <w:spacing w:val="0"/>
          <w:w w:val="100"/>
          <w:position w:val="0"/>
        </w:rPr>
        <w:t>晩期血吸虫病（满足3项）</w:t>
      </w:r>
    </w:p>
    <w:p>
      <w:pPr>
        <w:pStyle w:val="13"/>
        <w:keepNext w:val="0"/>
        <w:keepLines w:val="0"/>
        <w:widowControl w:val="0"/>
        <w:shd w:val="clear" w:color="auto" w:fill="auto"/>
        <w:tabs>
          <w:tab w:val="left" w:pos="1487"/>
        </w:tabs>
        <w:bidi w:val="0"/>
        <w:spacing w:before="0" w:after="0" w:line="638" w:lineRule="exact"/>
        <w:ind w:left="0" w:right="0" w:firstLine="640"/>
        <w:jc w:val="both"/>
      </w:pPr>
      <w:bookmarkStart w:id="124" w:name="bookmark148"/>
      <w:r>
        <w:rPr>
          <w:color w:val="000000"/>
          <w:spacing w:val="0"/>
          <w:w w:val="100"/>
          <w:position w:val="0"/>
        </w:rPr>
        <w:t>（</w:t>
      </w:r>
      <w:bookmarkEnd w:id="124"/>
      <w:r>
        <w:rPr>
          <w:color w:val="000000"/>
          <w:spacing w:val="0"/>
          <w:w w:val="100"/>
          <w:position w:val="0"/>
        </w:rPr>
        <w:t>1）</w:t>
      </w:r>
      <w:r>
        <w:rPr>
          <w:color w:val="000000"/>
          <w:spacing w:val="0"/>
          <w:w w:val="100"/>
          <w:position w:val="0"/>
        </w:rPr>
        <w:tab/>
      </w:r>
      <w:r>
        <w:rPr>
          <w:color w:val="000000"/>
          <w:spacing w:val="0"/>
          <w:w w:val="100"/>
          <w:position w:val="0"/>
        </w:rPr>
        <w:t>长期或反复的疫水接触史，或有明确的血吸虫病治疗 史；</w:t>
      </w:r>
    </w:p>
    <w:p>
      <w:pPr>
        <w:pStyle w:val="13"/>
        <w:keepNext w:val="0"/>
        <w:keepLines w:val="0"/>
        <w:widowControl w:val="0"/>
        <w:shd w:val="clear" w:color="auto" w:fill="auto"/>
        <w:tabs>
          <w:tab w:val="left" w:pos="1487"/>
        </w:tabs>
        <w:bidi w:val="0"/>
        <w:spacing w:before="0" w:after="0" w:line="679" w:lineRule="exact"/>
        <w:ind w:left="0" w:right="0" w:firstLine="640"/>
        <w:jc w:val="both"/>
      </w:pPr>
      <w:bookmarkStart w:id="125" w:name="bookmark149"/>
      <w:r>
        <w:rPr>
          <w:color w:val="000000"/>
          <w:spacing w:val="0"/>
          <w:w w:val="100"/>
          <w:position w:val="0"/>
        </w:rPr>
        <w:t>（</w:t>
      </w:r>
      <w:bookmarkEnd w:id="125"/>
      <w:r>
        <w:rPr>
          <w:color w:val="000000"/>
          <w:spacing w:val="0"/>
          <w:w w:val="100"/>
          <w:position w:val="0"/>
        </w:rPr>
        <w:t>2）</w:t>
      </w:r>
      <w:r>
        <w:rPr>
          <w:color w:val="000000"/>
          <w:spacing w:val="0"/>
          <w:w w:val="100"/>
          <w:position w:val="0"/>
        </w:rPr>
        <w:tab/>
      </w:r>
      <w:r>
        <w:rPr>
          <w:color w:val="000000"/>
          <w:spacing w:val="0"/>
          <w:w w:val="100"/>
          <w:position w:val="0"/>
        </w:rPr>
        <w:t>临床有门脉高压症状、体征，或有侏儒或结肠肉芽肿 表现；</w:t>
      </w:r>
    </w:p>
    <w:p>
      <w:pPr>
        <w:pStyle w:val="13"/>
        <w:keepNext w:val="0"/>
        <w:keepLines w:val="0"/>
        <w:widowControl w:val="0"/>
        <w:shd w:val="clear" w:color="auto" w:fill="auto"/>
        <w:tabs>
          <w:tab w:val="left" w:pos="1487"/>
        </w:tabs>
        <w:bidi w:val="0"/>
        <w:spacing w:before="0" w:after="240" w:line="696" w:lineRule="exact"/>
        <w:ind w:left="0" w:right="0" w:firstLine="640"/>
        <w:jc w:val="both"/>
      </w:pPr>
      <w:bookmarkStart w:id="126" w:name="bookmark150"/>
      <w:r>
        <w:rPr>
          <w:color w:val="000000"/>
          <w:spacing w:val="0"/>
          <w:w w:val="100"/>
          <w:position w:val="0"/>
        </w:rPr>
        <w:t>（</w:t>
      </w:r>
      <w:bookmarkEnd w:id="126"/>
      <w:r>
        <w:rPr>
          <w:color w:val="000000"/>
          <w:spacing w:val="0"/>
          <w:w w:val="100"/>
          <w:position w:val="0"/>
        </w:rPr>
        <w:t>3）</w:t>
      </w:r>
      <w:r>
        <w:rPr>
          <w:color w:val="000000"/>
          <w:spacing w:val="0"/>
          <w:w w:val="100"/>
          <w:position w:val="0"/>
        </w:rPr>
        <w:tab/>
      </w:r>
      <w:r>
        <w:rPr>
          <w:color w:val="000000"/>
          <w:spacing w:val="0"/>
          <w:w w:val="100"/>
          <w:position w:val="0"/>
        </w:rPr>
        <w:t>粪检找到虫卵或毛蚴，或直肠活检无治疗史者发现血 吸虫卵，有治疗史者发现活卵或近期变性虫卵。</w:t>
      </w:r>
    </w:p>
    <w:p>
      <w:pPr>
        <w:pStyle w:val="13"/>
        <w:keepNext w:val="0"/>
        <w:keepLines w:val="0"/>
        <w:widowControl w:val="0"/>
        <w:shd w:val="clear" w:color="auto" w:fill="auto"/>
        <w:bidi w:val="0"/>
        <w:spacing w:before="0" w:after="0" w:line="240" w:lineRule="auto"/>
        <w:ind w:left="0" w:right="0" w:firstLine="640"/>
        <w:jc w:val="both"/>
      </w:pPr>
      <w:r>
        <w:rPr>
          <w:b/>
          <w:bCs/>
          <w:color w:val="000000"/>
          <w:spacing w:val="0"/>
          <w:w w:val="100"/>
          <w:position w:val="0"/>
        </w:rPr>
        <w:t>（二十四）克山病</w:t>
      </w:r>
    </w:p>
    <w:p>
      <w:pPr>
        <w:pStyle w:val="13"/>
        <w:keepNext w:val="0"/>
        <w:keepLines w:val="0"/>
        <w:widowControl w:val="0"/>
        <w:shd w:val="clear" w:color="auto" w:fill="auto"/>
        <w:tabs>
          <w:tab w:val="left" w:pos="2906"/>
        </w:tabs>
        <w:bidi w:val="0"/>
        <w:spacing w:before="0" w:after="0" w:line="647" w:lineRule="exact"/>
        <w:ind w:left="0" w:right="0" w:firstLine="480"/>
        <w:jc w:val="both"/>
      </w:pPr>
      <w:r>
        <w:rPr>
          <w:color w:val="000000"/>
          <w:spacing w:val="0"/>
          <w:w w:val="100"/>
          <w:position w:val="0"/>
        </w:rPr>
        <w:t>同时具备以下三项：1.长期生活在缺硒地区，活动后呼吸困 难，双下肢浮肿；2.心脏彩超提示：左室扩大（女</w:t>
      </w:r>
      <w:r>
        <w:rPr>
          <w:color w:val="000000"/>
          <w:spacing w:val="0"/>
          <w:w w:val="100"/>
          <w:position w:val="0"/>
          <w:lang w:val="en-US" w:eastAsia="en-US" w:bidi="en-US"/>
        </w:rPr>
        <w:t xml:space="preserve">＞50mm/ </w:t>
      </w:r>
      <w:r>
        <w:rPr>
          <w:color w:val="000000"/>
          <w:spacing w:val="0"/>
          <w:w w:val="100"/>
          <w:position w:val="0"/>
        </w:rPr>
        <w:t>男</w:t>
      </w:r>
      <w:r>
        <w:rPr>
          <w:color w:val="000000"/>
          <w:spacing w:val="0"/>
          <w:w w:val="100"/>
          <w:position w:val="0"/>
          <w:lang w:val="en-US" w:eastAsia="en-US" w:bidi="en-US"/>
        </w:rPr>
        <w:t>＞55mm） ,EF＜45%;</w:t>
      </w:r>
      <w:r>
        <w:rPr>
          <w:color w:val="000000"/>
          <w:spacing w:val="0"/>
          <w:w w:val="100"/>
          <w:position w:val="0"/>
          <w:lang w:val="en-US" w:eastAsia="en-US" w:bidi="en-US"/>
        </w:rPr>
        <w:tab/>
      </w:r>
      <w:r>
        <w:rPr>
          <w:color w:val="000000"/>
          <w:spacing w:val="0"/>
          <w:w w:val="100"/>
          <w:position w:val="0"/>
        </w:rPr>
        <w:t>3.存在心律失常，如房颤、室早等。</w:t>
      </w:r>
    </w:p>
    <w:p>
      <w:pPr>
        <w:pStyle w:val="27"/>
        <w:keepNext/>
        <w:keepLines/>
        <w:widowControl w:val="0"/>
        <w:shd w:val="clear" w:color="auto" w:fill="auto"/>
        <w:bidi w:val="0"/>
        <w:spacing w:before="0" w:after="0" w:line="662" w:lineRule="exact"/>
        <w:ind w:left="0" w:right="0"/>
        <w:jc w:val="both"/>
      </w:pPr>
      <w:bookmarkStart w:id="127" w:name="bookmark153"/>
      <w:bookmarkStart w:id="128" w:name="bookmark151"/>
      <w:bookmarkStart w:id="129" w:name="bookmark152"/>
      <w:r>
        <w:rPr>
          <w:color w:val="000000"/>
          <w:spacing w:val="0"/>
          <w:w w:val="100"/>
          <w:position w:val="0"/>
        </w:rPr>
        <w:t>（二十五）囊虫病</w:t>
      </w:r>
      <w:bookmarkEnd w:id="127"/>
      <w:bookmarkEnd w:id="128"/>
      <w:bookmarkEnd w:id="129"/>
    </w:p>
    <w:p>
      <w:pPr>
        <w:pStyle w:val="13"/>
        <w:keepNext w:val="0"/>
        <w:keepLines w:val="0"/>
        <w:widowControl w:val="0"/>
        <w:numPr>
          <w:ilvl w:val="0"/>
          <w:numId w:val="12"/>
        </w:numPr>
        <w:shd w:val="clear" w:color="auto" w:fill="auto"/>
        <w:bidi w:val="0"/>
        <w:spacing w:before="0" w:after="0" w:line="662" w:lineRule="exact"/>
        <w:ind w:left="0" w:right="0" w:firstLine="640"/>
        <w:jc w:val="both"/>
      </w:pPr>
      <w:bookmarkStart w:id="130" w:name="bookmark154"/>
      <w:bookmarkEnd w:id="130"/>
      <w:r>
        <w:rPr>
          <w:color w:val="333333"/>
          <w:spacing w:val="0"/>
          <w:w w:val="100"/>
          <w:position w:val="0"/>
        </w:rPr>
        <w:t>囊虫病病史资料，如脑囊虫病、皮下组织及肌肉囊虫病、 眼囊虫病等；</w:t>
      </w:r>
    </w:p>
    <w:p>
      <w:pPr>
        <w:pStyle w:val="13"/>
        <w:keepNext w:val="0"/>
        <w:keepLines w:val="0"/>
        <w:widowControl w:val="0"/>
        <w:numPr>
          <w:ilvl w:val="0"/>
          <w:numId w:val="12"/>
        </w:numPr>
        <w:shd w:val="clear" w:color="auto" w:fill="auto"/>
        <w:bidi w:val="0"/>
        <w:spacing w:before="0" w:after="0" w:line="658" w:lineRule="exact"/>
        <w:ind w:left="0" w:right="0" w:firstLine="640"/>
        <w:jc w:val="both"/>
      </w:pPr>
      <w:bookmarkStart w:id="131" w:name="bookmark155"/>
      <w:bookmarkEnd w:id="131"/>
      <w:r>
        <w:rPr>
          <w:color w:val="333333"/>
          <w:spacing w:val="0"/>
          <w:w w:val="100"/>
          <w:position w:val="0"/>
        </w:rPr>
        <w:t>实验室及辅助检查（满足3项）</w:t>
      </w:r>
    </w:p>
    <w:p>
      <w:pPr>
        <w:pStyle w:val="13"/>
        <w:keepNext w:val="0"/>
        <w:keepLines w:val="0"/>
        <w:widowControl w:val="0"/>
        <w:shd w:val="clear" w:color="auto" w:fill="auto"/>
        <w:tabs>
          <w:tab w:val="left" w:pos="1290"/>
        </w:tabs>
        <w:bidi w:val="0"/>
        <w:spacing w:before="0" w:after="0" w:line="658" w:lineRule="exact"/>
        <w:ind w:left="0" w:right="0" w:firstLine="480"/>
        <w:jc w:val="both"/>
      </w:pPr>
      <w:bookmarkStart w:id="132" w:name="bookmark156"/>
      <w:r>
        <w:rPr>
          <w:color w:val="333333"/>
          <w:spacing w:val="0"/>
          <w:w w:val="100"/>
          <w:position w:val="0"/>
        </w:rPr>
        <w:t>（</w:t>
      </w:r>
      <w:bookmarkEnd w:id="132"/>
      <w:r>
        <w:rPr>
          <w:color w:val="333333"/>
          <w:spacing w:val="0"/>
          <w:w w:val="100"/>
          <w:position w:val="0"/>
        </w:rPr>
        <w:t>1）</w:t>
      </w:r>
      <w:r>
        <w:rPr>
          <w:color w:val="333333"/>
          <w:spacing w:val="0"/>
          <w:w w:val="100"/>
          <w:position w:val="0"/>
        </w:rPr>
        <w:tab/>
      </w:r>
      <w:r>
        <w:rPr>
          <w:color w:val="333333"/>
          <w:spacing w:val="0"/>
          <w:w w:val="100"/>
          <w:position w:val="0"/>
        </w:rPr>
        <w:t>血液及脑脊液检查：外周血象可见嗜酸性粒细胞计数增 高，脑脊液有嗜酸性粒细胞与异常淋巴细胞有参考价值；</w:t>
      </w:r>
    </w:p>
    <w:p>
      <w:pPr>
        <w:pStyle w:val="13"/>
        <w:keepNext w:val="0"/>
        <w:keepLines w:val="0"/>
        <w:widowControl w:val="0"/>
        <w:shd w:val="clear" w:color="auto" w:fill="auto"/>
        <w:tabs>
          <w:tab w:val="left" w:pos="1213"/>
        </w:tabs>
        <w:bidi w:val="0"/>
        <w:spacing w:before="0" w:after="0" w:line="658" w:lineRule="exact"/>
        <w:ind w:left="0" w:right="0" w:firstLine="480"/>
        <w:jc w:val="both"/>
      </w:pPr>
      <w:bookmarkStart w:id="133" w:name="bookmark157"/>
      <w:r>
        <w:rPr>
          <w:color w:val="333333"/>
          <w:spacing w:val="0"/>
          <w:w w:val="100"/>
          <w:position w:val="0"/>
        </w:rPr>
        <w:t>（</w:t>
      </w:r>
      <w:bookmarkEnd w:id="133"/>
      <w:r>
        <w:rPr>
          <w:color w:val="333333"/>
          <w:spacing w:val="0"/>
          <w:w w:val="100"/>
          <w:position w:val="0"/>
        </w:rPr>
        <w:t>2）</w:t>
      </w:r>
      <w:r>
        <w:rPr>
          <w:color w:val="333333"/>
          <w:spacing w:val="0"/>
          <w:w w:val="100"/>
          <w:position w:val="0"/>
        </w:rPr>
        <w:tab/>
      </w:r>
      <w:r>
        <w:rPr>
          <w:color w:val="333333"/>
          <w:spacing w:val="0"/>
          <w:w w:val="100"/>
          <w:position w:val="0"/>
        </w:rPr>
        <w:t>囊虫补体结合试验阳性；</w:t>
      </w:r>
    </w:p>
    <w:p>
      <w:pPr>
        <w:pStyle w:val="13"/>
        <w:keepNext w:val="0"/>
        <w:keepLines w:val="0"/>
        <w:widowControl w:val="0"/>
        <w:shd w:val="clear" w:color="auto" w:fill="auto"/>
        <w:tabs>
          <w:tab w:val="left" w:pos="1213"/>
        </w:tabs>
        <w:bidi w:val="0"/>
        <w:spacing w:before="0" w:after="0" w:line="658" w:lineRule="exact"/>
        <w:ind w:left="0" w:right="0" w:firstLine="480"/>
        <w:jc w:val="left"/>
      </w:pPr>
      <w:bookmarkStart w:id="134" w:name="bookmark158"/>
      <w:r>
        <w:rPr>
          <w:color w:val="333333"/>
          <w:spacing w:val="0"/>
          <w:w w:val="100"/>
          <w:position w:val="0"/>
        </w:rPr>
        <w:t>（</w:t>
      </w:r>
      <w:bookmarkEnd w:id="134"/>
      <w:r>
        <w:rPr>
          <w:color w:val="333333"/>
          <w:spacing w:val="0"/>
          <w:w w:val="100"/>
          <w:position w:val="0"/>
        </w:rPr>
        <w:t>3）</w:t>
      </w:r>
      <w:r>
        <w:rPr>
          <w:color w:val="333333"/>
          <w:spacing w:val="0"/>
          <w:w w:val="100"/>
          <w:position w:val="0"/>
        </w:rPr>
        <w:tab/>
      </w:r>
      <w:r>
        <w:rPr>
          <w:color w:val="333333"/>
          <w:spacing w:val="0"/>
          <w:w w:val="100"/>
          <w:position w:val="0"/>
        </w:rPr>
        <w:t>粪便检查，粪中发现节片或虫卵；</w:t>
      </w:r>
    </w:p>
    <w:p>
      <w:pPr>
        <w:pStyle w:val="13"/>
        <w:keepNext w:val="0"/>
        <w:keepLines w:val="0"/>
        <w:widowControl w:val="0"/>
        <w:shd w:val="clear" w:color="auto" w:fill="auto"/>
        <w:bidi w:val="0"/>
        <w:spacing w:before="0" w:after="0" w:line="658" w:lineRule="exact"/>
        <w:ind w:left="0" w:right="0" w:firstLine="480"/>
        <w:jc w:val="left"/>
      </w:pPr>
      <w:bookmarkStart w:id="135" w:name="bookmark159"/>
      <w:r>
        <w:rPr>
          <w:color w:val="333333"/>
          <w:spacing w:val="0"/>
          <w:w w:val="100"/>
          <w:position w:val="0"/>
        </w:rPr>
        <w:t>（</w:t>
      </w:r>
      <w:bookmarkEnd w:id="135"/>
      <w:r>
        <w:rPr>
          <w:color w:val="333333"/>
          <w:spacing w:val="0"/>
          <w:w w:val="100"/>
          <w:position w:val="0"/>
        </w:rPr>
        <w:t>4 ）腰穿提示颅压增高、或脑脊液细胞计数、蛋白含量增高;</w:t>
      </w:r>
    </w:p>
    <w:p>
      <w:pPr>
        <w:pStyle w:val="13"/>
        <w:keepNext w:val="0"/>
        <w:keepLines w:val="0"/>
        <w:widowControl w:val="0"/>
        <w:shd w:val="clear" w:color="auto" w:fill="auto"/>
        <w:tabs>
          <w:tab w:val="left" w:pos="1285"/>
        </w:tabs>
        <w:bidi w:val="0"/>
        <w:spacing w:before="0" w:after="0" w:line="691" w:lineRule="exact"/>
        <w:ind w:left="0" w:right="0" w:firstLine="480"/>
        <w:jc w:val="both"/>
      </w:pPr>
      <w:bookmarkStart w:id="136" w:name="bookmark160"/>
      <w:r>
        <w:rPr>
          <w:color w:val="333333"/>
          <w:spacing w:val="0"/>
          <w:w w:val="100"/>
          <w:position w:val="0"/>
        </w:rPr>
        <w:t>（</w:t>
      </w:r>
      <w:bookmarkEnd w:id="136"/>
      <w:r>
        <w:rPr>
          <w:color w:val="333333"/>
          <w:spacing w:val="0"/>
          <w:w w:val="100"/>
          <w:position w:val="0"/>
        </w:rPr>
        <w:t>5）</w:t>
      </w:r>
      <w:r>
        <w:rPr>
          <w:color w:val="333333"/>
          <w:spacing w:val="0"/>
          <w:w w:val="100"/>
          <w:position w:val="0"/>
        </w:rPr>
        <w:tab/>
      </w:r>
      <w:r>
        <w:rPr>
          <w:color w:val="333333"/>
          <w:spacing w:val="0"/>
          <w:w w:val="100"/>
          <w:position w:val="0"/>
        </w:rPr>
        <w:t>影像学检查：X线，</w:t>
      </w:r>
      <w:r>
        <w:rPr>
          <w:color w:val="333333"/>
          <w:spacing w:val="0"/>
          <w:w w:val="100"/>
          <w:position w:val="0"/>
          <w:lang w:val="en-US" w:eastAsia="en-US" w:bidi="en-US"/>
        </w:rPr>
        <w:t>B</w:t>
      </w:r>
      <w:r>
        <w:rPr>
          <w:color w:val="333333"/>
          <w:spacing w:val="0"/>
          <w:w w:val="100"/>
          <w:position w:val="0"/>
        </w:rPr>
        <w:t>超，</w:t>
      </w:r>
      <w:r>
        <w:rPr>
          <w:color w:val="333333"/>
          <w:spacing w:val="0"/>
          <w:w w:val="100"/>
          <w:position w:val="0"/>
          <w:lang w:val="en-US" w:eastAsia="en-US" w:bidi="en-US"/>
        </w:rPr>
        <w:t>CT、MRI</w:t>
      </w:r>
      <w:r>
        <w:rPr>
          <w:color w:val="333333"/>
          <w:spacing w:val="0"/>
          <w:w w:val="100"/>
          <w:position w:val="0"/>
        </w:rPr>
        <w:t>检查或脑室造影提 示囊虫、囊尾蚴样改变；</w:t>
      </w:r>
    </w:p>
    <w:p>
      <w:pPr>
        <w:pStyle w:val="13"/>
        <w:keepNext w:val="0"/>
        <w:keepLines w:val="0"/>
        <w:widowControl w:val="0"/>
        <w:shd w:val="clear" w:color="auto" w:fill="auto"/>
        <w:tabs>
          <w:tab w:val="left" w:pos="1299"/>
        </w:tabs>
        <w:bidi w:val="0"/>
        <w:spacing w:before="0" w:after="0" w:line="664" w:lineRule="exact"/>
        <w:ind w:left="0" w:right="0" w:firstLine="480"/>
        <w:jc w:val="both"/>
      </w:pPr>
      <w:bookmarkStart w:id="137" w:name="bookmark161"/>
      <w:r>
        <w:rPr>
          <w:color w:val="000000"/>
          <w:spacing w:val="0"/>
          <w:w w:val="100"/>
          <w:position w:val="0"/>
        </w:rPr>
        <w:t>（</w:t>
      </w:r>
      <w:bookmarkEnd w:id="137"/>
      <w:r>
        <w:rPr>
          <w:color w:val="000000"/>
          <w:spacing w:val="0"/>
          <w:w w:val="100"/>
          <w:position w:val="0"/>
        </w:rPr>
        <w:t>6）</w:t>
      </w:r>
      <w:r>
        <w:rPr>
          <w:color w:val="000000"/>
          <w:spacing w:val="0"/>
          <w:w w:val="100"/>
          <w:position w:val="0"/>
        </w:rPr>
        <w:tab/>
      </w:r>
      <w:r>
        <w:rPr>
          <w:color w:val="000000"/>
          <w:spacing w:val="0"/>
          <w:w w:val="100"/>
          <w:position w:val="0"/>
        </w:rPr>
        <w:t>免疫学检查：抗体检查检测特异性</w:t>
      </w:r>
      <w:r>
        <w:rPr>
          <w:color w:val="000000"/>
          <w:spacing w:val="0"/>
          <w:w w:val="100"/>
          <w:position w:val="0"/>
          <w:lang w:val="en-US" w:eastAsia="en-US" w:bidi="en-US"/>
        </w:rPr>
        <w:t>IgG</w:t>
      </w:r>
      <w:r>
        <w:rPr>
          <w:color w:val="000000"/>
          <w:spacing w:val="0"/>
          <w:w w:val="100"/>
          <w:position w:val="0"/>
        </w:rPr>
        <w:t>抗体。单克隆 抗体（</w:t>
      </w:r>
      <w:r>
        <w:rPr>
          <w:color w:val="000000"/>
          <w:spacing w:val="0"/>
          <w:w w:val="100"/>
          <w:position w:val="0"/>
          <w:lang w:val="en-US" w:eastAsia="en-US" w:bidi="en-US"/>
        </w:rPr>
        <w:t xml:space="preserve">McAb </w:t>
      </w:r>
      <w:r>
        <w:rPr>
          <w:color w:val="000000"/>
          <w:spacing w:val="0"/>
          <w:w w:val="100"/>
          <w:position w:val="0"/>
        </w:rPr>
        <w:t>）法检测囊尾蚴循环抗原诊断脑囊虫病。</w:t>
      </w:r>
    </w:p>
    <w:p>
      <w:pPr>
        <w:pStyle w:val="27"/>
        <w:keepNext/>
        <w:keepLines/>
        <w:widowControl w:val="0"/>
        <w:shd w:val="clear" w:color="auto" w:fill="auto"/>
        <w:bidi w:val="0"/>
        <w:spacing w:before="0" w:after="0" w:line="664" w:lineRule="exact"/>
        <w:ind w:left="0" w:right="0"/>
        <w:jc w:val="both"/>
      </w:pPr>
      <w:bookmarkStart w:id="138" w:name="bookmark162"/>
      <w:bookmarkStart w:id="139" w:name="bookmark163"/>
      <w:bookmarkStart w:id="140" w:name="bookmark164"/>
      <w:r>
        <w:rPr>
          <w:color w:val="000000"/>
          <w:spacing w:val="0"/>
          <w:w w:val="100"/>
          <w:position w:val="0"/>
        </w:rPr>
        <w:t>（二十六）大骨节病</w:t>
      </w:r>
      <w:bookmarkEnd w:id="138"/>
      <w:bookmarkEnd w:id="139"/>
      <w:bookmarkEnd w:id="140"/>
    </w:p>
    <w:p>
      <w:pPr>
        <w:pStyle w:val="13"/>
        <w:keepNext w:val="0"/>
        <w:keepLines w:val="0"/>
        <w:widowControl w:val="0"/>
        <w:shd w:val="clear" w:color="auto" w:fill="auto"/>
        <w:bidi w:val="0"/>
        <w:spacing w:before="0" w:after="0" w:line="664" w:lineRule="exact"/>
        <w:ind w:left="0" w:right="0" w:firstLine="640"/>
        <w:jc w:val="both"/>
      </w:pPr>
      <w:r>
        <w:rPr>
          <w:color w:val="000000"/>
          <w:spacing w:val="0"/>
          <w:w w:val="100"/>
          <w:position w:val="0"/>
          <w:shd w:val="clear" w:color="auto" w:fill="FFFFFF"/>
        </w:rPr>
        <w:t>同时具备以下三项：1.大骨节病病史资料；2.症状：四肢关 节疼痛、增粗、变性、肌肉萎缩、甚至短指、短肢、矮小畸形；</w:t>
      </w:r>
    </w:p>
    <w:p>
      <w:pPr>
        <w:pStyle w:val="13"/>
        <w:keepNext w:val="0"/>
        <w:keepLines w:val="0"/>
        <w:widowControl w:val="0"/>
        <w:numPr>
          <w:ilvl w:val="0"/>
          <w:numId w:val="12"/>
        </w:numPr>
        <w:shd w:val="clear" w:color="auto" w:fill="auto"/>
        <w:bidi w:val="0"/>
        <w:spacing w:before="0" w:after="0" w:line="664" w:lineRule="exact"/>
        <w:ind w:left="0" w:right="0" w:firstLine="0"/>
        <w:jc w:val="left"/>
      </w:pPr>
      <w:bookmarkStart w:id="141" w:name="bookmark165"/>
      <w:bookmarkEnd w:id="141"/>
      <w:r>
        <w:rPr>
          <w:color w:val="000000"/>
          <w:spacing w:val="0"/>
          <w:w w:val="100"/>
          <w:position w:val="0"/>
        </w:rPr>
        <w:t>放射线：手骨片见手指、腕关节骨关节面、干骨垢端临时钙化、 垢核多发对称性凹陷、硬化、破坏及变形。</w:t>
      </w:r>
    </w:p>
    <w:p>
      <w:pPr>
        <w:pStyle w:val="13"/>
        <w:keepNext w:val="0"/>
        <w:keepLines w:val="0"/>
        <w:widowControl w:val="0"/>
        <w:shd w:val="clear" w:color="auto" w:fill="auto"/>
        <w:bidi w:val="0"/>
        <w:spacing w:before="0" w:after="0" w:line="662" w:lineRule="exact"/>
        <w:ind w:left="0" w:right="0" w:firstLine="480"/>
        <w:jc w:val="both"/>
      </w:pPr>
      <w:r>
        <w:rPr>
          <w:b/>
          <w:bCs/>
          <w:color w:val="000000"/>
          <w:spacing w:val="0"/>
          <w:w w:val="100"/>
          <w:position w:val="0"/>
        </w:rPr>
        <w:t>（二十七）再生障碍性贫血</w:t>
      </w:r>
    </w:p>
    <w:p>
      <w:pPr>
        <w:pStyle w:val="13"/>
        <w:keepNext w:val="0"/>
        <w:keepLines w:val="0"/>
        <w:widowControl w:val="0"/>
        <w:shd w:val="clear" w:color="auto" w:fill="auto"/>
        <w:bidi w:val="0"/>
        <w:spacing w:before="0" w:after="0" w:line="659" w:lineRule="exact"/>
        <w:ind w:left="0" w:right="0" w:firstLine="480"/>
        <w:jc w:val="both"/>
      </w:pPr>
      <w:r>
        <w:rPr>
          <w:color w:val="000000"/>
          <w:spacing w:val="0"/>
          <w:w w:val="100"/>
          <w:position w:val="0"/>
        </w:rPr>
        <w:t xml:space="preserve">同时具备以下三项：1.全血细胞减少，网织红细胞百分数＜ </w:t>
      </w:r>
      <w:r>
        <w:rPr>
          <w:color w:val="000000"/>
          <w:spacing w:val="0"/>
          <w:w w:val="100"/>
          <w:position w:val="0"/>
          <w:lang w:val="en-US" w:eastAsia="en-US" w:bidi="en-US"/>
        </w:rPr>
        <w:t xml:space="preserve">0. </w:t>
      </w:r>
      <w:r>
        <w:rPr>
          <w:color w:val="000000"/>
          <w:spacing w:val="0"/>
          <w:w w:val="100"/>
          <w:position w:val="0"/>
        </w:rPr>
        <w:t>005，淋巴细胞比例增高；2.骨髓多部位增生减低，造血细胞 减少，非造血细胞比例增高，骨髓小粒空虚；</w:t>
      </w:r>
      <w:r>
        <w:rPr>
          <w:color w:val="000000"/>
          <w:spacing w:val="0"/>
          <w:w w:val="100"/>
          <w:position w:val="0"/>
          <w:lang w:val="en-US" w:eastAsia="en-US" w:bidi="en-US"/>
        </w:rPr>
        <w:t>3.</w:t>
      </w:r>
      <w:r>
        <w:rPr>
          <w:color w:val="000000"/>
          <w:spacing w:val="0"/>
          <w:w w:val="100"/>
          <w:position w:val="0"/>
        </w:rPr>
        <w:t>骨髓活检可见造 血组织均匀减少。</w:t>
      </w:r>
    </w:p>
    <w:p>
      <w:pPr>
        <w:pStyle w:val="27"/>
        <w:keepNext/>
        <w:keepLines/>
        <w:widowControl w:val="0"/>
        <w:shd w:val="clear" w:color="auto" w:fill="auto"/>
        <w:bidi w:val="0"/>
        <w:spacing w:before="0" w:after="0" w:line="646" w:lineRule="exact"/>
        <w:ind w:left="0" w:right="0"/>
        <w:jc w:val="left"/>
      </w:pPr>
      <w:bookmarkStart w:id="142" w:name="bookmark168"/>
      <w:bookmarkStart w:id="143" w:name="bookmark167"/>
      <w:bookmarkStart w:id="144" w:name="bookmark166"/>
      <w:r>
        <w:rPr>
          <w:color w:val="000000"/>
          <w:spacing w:val="0"/>
          <w:w w:val="100"/>
          <w:position w:val="0"/>
        </w:rPr>
        <w:t>（二十八）布鲁氏菌病</w:t>
      </w:r>
      <w:bookmarkEnd w:id="142"/>
      <w:bookmarkEnd w:id="143"/>
      <w:bookmarkEnd w:id="144"/>
    </w:p>
    <w:p>
      <w:pPr>
        <w:pStyle w:val="13"/>
        <w:keepNext w:val="0"/>
        <w:keepLines w:val="0"/>
        <w:widowControl w:val="0"/>
        <w:numPr>
          <w:ilvl w:val="0"/>
          <w:numId w:val="13"/>
        </w:numPr>
        <w:shd w:val="clear" w:color="auto" w:fill="auto"/>
        <w:tabs>
          <w:tab w:val="left" w:pos="1027"/>
        </w:tabs>
        <w:bidi w:val="0"/>
        <w:spacing w:before="0" w:after="0" w:line="646" w:lineRule="exact"/>
        <w:ind w:left="0" w:right="0" w:firstLine="640"/>
        <w:jc w:val="left"/>
      </w:pPr>
      <w:bookmarkStart w:id="145" w:name="bookmark169"/>
      <w:bookmarkEnd w:id="145"/>
      <w:r>
        <w:rPr>
          <w:color w:val="000000"/>
          <w:spacing w:val="0"/>
          <w:w w:val="100"/>
          <w:position w:val="0"/>
        </w:rPr>
        <w:t>流行病学史；</w:t>
      </w:r>
    </w:p>
    <w:p>
      <w:pPr>
        <w:pStyle w:val="13"/>
        <w:keepNext w:val="0"/>
        <w:keepLines w:val="0"/>
        <w:widowControl w:val="0"/>
        <w:numPr>
          <w:ilvl w:val="0"/>
          <w:numId w:val="13"/>
        </w:numPr>
        <w:shd w:val="clear" w:color="auto" w:fill="auto"/>
        <w:tabs>
          <w:tab w:val="left" w:pos="1045"/>
        </w:tabs>
        <w:bidi w:val="0"/>
        <w:spacing w:before="0" w:after="0" w:line="677" w:lineRule="exact"/>
        <w:ind w:left="0" w:right="0" w:firstLine="640"/>
        <w:jc w:val="both"/>
      </w:pPr>
      <w:bookmarkStart w:id="146" w:name="bookmark170"/>
      <w:bookmarkEnd w:id="146"/>
      <w:r>
        <w:rPr>
          <w:color w:val="000000"/>
          <w:spacing w:val="0"/>
          <w:w w:val="100"/>
          <w:position w:val="0"/>
        </w:rPr>
        <w:t>临床表现：发热、多汗、乏力、肌肉和关节疼痛等。部分 患者淋巴结/肝脾和睾丸肿大，可伴有皮疹、黄疸、骨关节系统 损害；</w:t>
      </w:r>
    </w:p>
    <w:p>
      <w:pPr>
        <w:pStyle w:val="13"/>
        <w:keepNext w:val="0"/>
        <w:keepLines w:val="0"/>
        <w:widowControl w:val="0"/>
        <w:numPr>
          <w:ilvl w:val="0"/>
          <w:numId w:val="13"/>
        </w:numPr>
        <w:shd w:val="clear" w:color="auto" w:fill="auto"/>
        <w:tabs>
          <w:tab w:val="left" w:pos="1037"/>
          <w:tab w:val="left" w:pos="6388"/>
        </w:tabs>
        <w:bidi w:val="0"/>
        <w:spacing w:before="0" w:after="0" w:line="646" w:lineRule="exact"/>
        <w:ind w:left="0" w:right="0" w:firstLine="640"/>
        <w:jc w:val="both"/>
      </w:pPr>
      <w:bookmarkStart w:id="147" w:name="bookmark171"/>
      <w:bookmarkEnd w:id="147"/>
      <w:r>
        <w:rPr>
          <w:color w:val="000000"/>
          <w:spacing w:val="0"/>
          <w:w w:val="100"/>
          <w:position w:val="0"/>
        </w:rPr>
        <w:t>疾控：</w:t>
      </w:r>
      <w:r>
        <w:rPr>
          <w:color w:val="000000"/>
          <w:spacing w:val="0"/>
          <w:w w:val="100"/>
          <w:position w:val="0"/>
          <w:lang w:val="en-US" w:eastAsia="en-US" w:bidi="en-US"/>
        </w:rPr>
        <w:t>PAT</w:t>
      </w:r>
      <w:r>
        <w:rPr>
          <w:color w:val="000000"/>
          <w:spacing w:val="0"/>
          <w:w w:val="100"/>
          <w:position w:val="0"/>
        </w:rPr>
        <w:t>结果为阳性，</w:t>
      </w:r>
      <w:r>
        <w:rPr>
          <w:color w:val="000000"/>
          <w:spacing w:val="0"/>
          <w:w w:val="100"/>
          <w:position w:val="0"/>
          <w:lang w:val="en-US" w:eastAsia="en-US" w:bidi="en-US"/>
        </w:rPr>
        <w:t>SAT</w:t>
      </w:r>
      <w:r>
        <w:rPr>
          <w:color w:val="000000"/>
          <w:spacing w:val="0"/>
          <w:w w:val="100"/>
          <w:position w:val="0"/>
        </w:rPr>
        <w:t>滴度为1：</w:t>
      </w:r>
      <w:r>
        <w:rPr>
          <w:color w:val="000000"/>
          <w:spacing w:val="0"/>
          <w:w w:val="100"/>
          <w:position w:val="0"/>
        </w:rPr>
        <w:tab/>
      </w:r>
      <w:r>
        <w:rPr>
          <w:color w:val="000000"/>
          <w:spacing w:val="0"/>
          <w:w w:val="100"/>
          <w:position w:val="0"/>
        </w:rPr>
        <w:t>100及以上，或者</w:t>
      </w:r>
    </w:p>
    <w:p>
      <w:pPr>
        <w:pStyle w:val="13"/>
        <w:keepNext w:val="0"/>
        <w:keepLines w:val="0"/>
        <w:widowControl w:val="0"/>
        <w:shd w:val="clear" w:color="auto" w:fill="auto"/>
        <w:bidi w:val="0"/>
        <w:spacing w:before="0" w:after="0" w:line="646" w:lineRule="exact"/>
        <w:ind w:left="0" w:right="0" w:firstLine="0"/>
        <w:jc w:val="left"/>
      </w:pPr>
      <w:r>
        <w:rPr>
          <w:color w:val="000000"/>
          <w:spacing w:val="0"/>
          <w:w w:val="100"/>
          <w:position w:val="0"/>
        </w:rPr>
        <w:t>患者病程持续一年以上仍有临床症状者</w:t>
      </w:r>
      <w:r>
        <w:rPr>
          <w:color w:val="000000"/>
          <w:spacing w:val="0"/>
          <w:w w:val="100"/>
          <w:position w:val="0"/>
          <w:lang w:val="en-US" w:eastAsia="en-US" w:bidi="en-US"/>
        </w:rPr>
        <w:t>SAT</w:t>
      </w:r>
      <w:r>
        <w:rPr>
          <w:color w:val="000000"/>
          <w:spacing w:val="0"/>
          <w:w w:val="100"/>
          <w:position w:val="0"/>
        </w:rPr>
        <w:t>滴度为1:50及以上;</w:t>
      </w:r>
    </w:p>
    <w:p>
      <w:pPr>
        <w:pStyle w:val="13"/>
        <w:keepNext w:val="0"/>
        <w:keepLines w:val="0"/>
        <w:widowControl w:val="0"/>
        <w:numPr>
          <w:ilvl w:val="0"/>
          <w:numId w:val="13"/>
        </w:numPr>
        <w:shd w:val="clear" w:color="auto" w:fill="auto"/>
        <w:tabs>
          <w:tab w:val="left" w:pos="1037"/>
        </w:tabs>
        <w:bidi w:val="0"/>
        <w:spacing w:before="0" w:after="0" w:line="646" w:lineRule="exact"/>
        <w:ind w:left="0" w:right="0" w:firstLine="640"/>
        <w:jc w:val="left"/>
      </w:pPr>
      <w:bookmarkStart w:id="148" w:name="bookmark172"/>
      <w:bookmarkEnd w:id="148"/>
      <w:r>
        <w:rPr>
          <w:color w:val="000000"/>
          <w:spacing w:val="0"/>
          <w:w w:val="100"/>
          <w:position w:val="0"/>
        </w:rPr>
        <w:t>血培养：分离到布鲁氏菌。</w:t>
      </w:r>
    </w:p>
    <w:p>
      <w:pPr>
        <w:pStyle w:val="27"/>
        <w:keepNext/>
        <w:keepLines/>
        <w:widowControl w:val="0"/>
        <w:shd w:val="clear" w:color="auto" w:fill="auto"/>
        <w:bidi w:val="0"/>
        <w:spacing w:before="0" w:after="0" w:line="646" w:lineRule="exact"/>
        <w:ind w:left="0" w:right="0"/>
        <w:jc w:val="left"/>
      </w:pPr>
      <w:bookmarkStart w:id="149" w:name="bookmark173"/>
      <w:bookmarkStart w:id="150" w:name="bookmark175"/>
      <w:bookmarkStart w:id="151" w:name="bookmark174"/>
      <w:r>
        <w:rPr>
          <w:color w:val="000000"/>
          <w:spacing w:val="0"/>
          <w:w w:val="100"/>
          <w:position w:val="0"/>
        </w:rPr>
        <w:t>（二十九）手足口病</w:t>
      </w:r>
      <w:bookmarkEnd w:id="149"/>
      <w:bookmarkEnd w:id="150"/>
      <w:bookmarkEnd w:id="151"/>
    </w:p>
    <w:p>
      <w:pPr>
        <w:pStyle w:val="13"/>
        <w:keepNext w:val="0"/>
        <w:keepLines w:val="0"/>
        <w:widowControl w:val="0"/>
        <w:shd w:val="clear" w:color="auto" w:fill="auto"/>
        <w:bidi w:val="0"/>
        <w:spacing w:before="0" w:after="0" w:line="646" w:lineRule="exact"/>
        <w:ind w:left="0" w:right="0" w:firstLine="640"/>
        <w:jc w:val="left"/>
      </w:pPr>
      <w:r>
        <w:rPr>
          <w:color w:val="000000"/>
          <w:spacing w:val="0"/>
          <w:w w:val="100"/>
          <w:position w:val="0"/>
        </w:rPr>
        <w:t>1.流行病学史；2.发热、手、足、口及臀部可见皮疹。</w:t>
      </w:r>
    </w:p>
    <w:p>
      <w:pPr>
        <w:pStyle w:val="27"/>
        <w:keepNext/>
        <w:keepLines/>
        <w:widowControl w:val="0"/>
        <w:shd w:val="clear" w:color="auto" w:fill="auto"/>
        <w:bidi w:val="0"/>
        <w:spacing w:before="0" w:after="0" w:line="646" w:lineRule="exact"/>
        <w:ind w:left="0" w:right="0"/>
        <w:jc w:val="left"/>
      </w:pPr>
      <w:bookmarkStart w:id="152" w:name="bookmark177"/>
      <w:bookmarkStart w:id="153" w:name="bookmark176"/>
      <w:bookmarkStart w:id="154" w:name="bookmark178"/>
      <w:r>
        <w:rPr>
          <w:color w:val="000000"/>
          <w:spacing w:val="0"/>
          <w:w w:val="100"/>
          <w:position w:val="0"/>
        </w:rPr>
        <w:t>（三十）帕金森综合征（含帕金森病）</w:t>
      </w:r>
      <w:bookmarkEnd w:id="152"/>
      <w:bookmarkEnd w:id="153"/>
      <w:bookmarkEnd w:id="154"/>
    </w:p>
    <w:p>
      <w:pPr>
        <w:pStyle w:val="13"/>
        <w:keepNext w:val="0"/>
        <w:keepLines w:val="0"/>
        <w:widowControl w:val="0"/>
        <w:shd w:val="clear" w:color="auto" w:fill="auto"/>
        <w:bidi w:val="0"/>
        <w:spacing w:before="0" w:after="0" w:line="646" w:lineRule="exact"/>
        <w:ind w:left="0" w:right="0" w:firstLine="640"/>
        <w:jc w:val="left"/>
      </w:pPr>
      <w:r>
        <w:rPr>
          <w:color w:val="000000"/>
          <w:spacing w:val="0"/>
          <w:w w:val="100"/>
          <w:position w:val="0"/>
        </w:rPr>
        <w:t>同时具备以下两项：1.明确帕金森病史，同时合并两个以上 肢体功能受限；2.住院和病史资料证明需长期治疗。</w:t>
      </w:r>
    </w:p>
    <w:p>
      <w:pPr>
        <w:pStyle w:val="27"/>
        <w:keepNext/>
        <w:keepLines/>
        <w:widowControl w:val="0"/>
        <w:shd w:val="clear" w:color="auto" w:fill="auto"/>
        <w:bidi w:val="0"/>
        <w:spacing w:before="0" w:after="0" w:line="646" w:lineRule="exact"/>
        <w:ind w:left="0" w:right="0"/>
        <w:jc w:val="left"/>
      </w:pPr>
      <w:bookmarkStart w:id="155" w:name="bookmark181"/>
      <w:bookmarkStart w:id="156" w:name="bookmark180"/>
      <w:bookmarkStart w:id="157" w:name="bookmark179"/>
      <w:r>
        <w:rPr>
          <w:color w:val="000000"/>
          <w:spacing w:val="0"/>
          <w:w w:val="100"/>
          <w:position w:val="0"/>
        </w:rPr>
        <w:t>（三十一）癫痫</w:t>
      </w:r>
      <w:bookmarkEnd w:id="155"/>
      <w:bookmarkEnd w:id="156"/>
      <w:bookmarkEnd w:id="157"/>
    </w:p>
    <w:p>
      <w:pPr>
        <w:pStyle w:val="13"/>
        <w:keepNext w:val="0"/>
        <w:keepLines w:val="0"/>
        <w:widowControl w:val="0"/>
        <w:shd w:val="clear" w:color="auto" w:fill="auto"/>
        <w:bidi w:val="0"/>
        <w:spacing w:before="0" w:after="0" w:line="646" w:lineRule="exact"/>
        <w:ind w:left="0" w:right="0" w:firstLine="640"/>
        <w:jc w:val="left"/>
      </w:pPr>
      <w:r>
        <w:rPr>
          <w:color w:val="000000"/>
          <w:spacing w:val="0"/>
          <w:w w:val="100"/>
          <w:position w:val="0"/>
        </w:rPr>
        <w:t>1.癫痫发作病史；2.脑电图检出阳性。</w:t>
      </w:r>
    </w:p>
    <w:p>
      <w:pPr>
        <w:pStyle w:val="27"/>
        <w:keepNext/>
        <w:keepLines/>
        <w:widowControl w:val="0"/>
        <w:shd w:val="clear" w:color="auto" w:fill="auto"/>
        <w:bidi w:val="0"/>
        <w:spacing w:before="0" w:after="0" w:line="646" w:lineRule="exact"/>
        <w:ind w:left="0" w:right="0"/>
        <w:jc w:val="left"/>
      </w:pPr>
      <w:bookmarkStart w:id="158" w:name="bookmark182"/>
      <w:bookmarkStart w:id="159" w:name="bookmark183"/>
      <w:bookmarkStart w:id="160" w:name="bookmark184"/>
      <w:r>
        <w:rPr>
          <w:color w:val="000000"/>
          <w:spacing w:val="0"/>
          <w:w w:val="100"/>
          <w:position w:val="0"/>
        </w:rPr>
        <w:t>（三十二）风湿（类风湿）性关节炎</w:t>
      </w:r>
      <w:bookmarkEnd w:id="158"/>
      <w:bookmarkEnd w:id="159"/>
      <w:bookmarkEnd w:id="160"/>
    </w:p>
    <w:p>
      <w:pPr>
        <w:pStyle w:val="13"/>
        <w:keepNext w:val="0"/>
        <w:keepLines w:val="0"/>
        <w:widowControl w:val="0"/>
        <w:shd w:val="clear" w:color="auto" w:fill="auto"/>
        <w:bidi w:val="0"/>
        <w:spacing w:before="0" w:after="0" w:line="646" w:lineRule="exact"/>
        <w:ind w:left="0" w:right="0" w:firstLine="640"/>
        <w:jc w:val="left"/>
      </w:pPr>
      <w:r>
        <w:rPr>
          <w:color w:val="000000"/>
          <w:spacing w:val="0"/>
          <w:w w:val="100"/>
          <w:position w:val="0"/>
        </w:rPr>
        <w:t>同时具备以下两项：</w:t>
      </w:r>
    </w:p>
    <w:p>
      <w:pPr>
        <w:pStyle w:val="13"/>
        <w:keepNext w:val="0"/>
        <w:keepLines w:val="0"/>
        <w:widowControl w:val="0"/>
        <w:numPr>
          <w:ilvl w:val="0"/>
          <w:numId w:val="14"/>
        </w:numPr>
        <w:shd w:val="clear" w:color="auto" w:fill="auto"/>
        <w:tabs>
          <w:tab w:val="left" w:pos="1027"/>
        </w:tabs>
        <w:bidi w:val="0"/>
        <w:spacing w:before="0" w:after="0" w:line="643" w:lineRule="exact"/>
        <w:ind w:left="0" w:right="0" w:firstLine="640"/>
        <w:jc w:val="left"/>
      </w:pPr>
      <w:bookmarkStart w:id="161" w:name="bookmark185"/>
      <w:bookmarkEnd w:id="161"/>
      <w:r>
        <w:rPr>
          <w:color w:val="000000"/>
          <w:spacing w:val="0"/>
          <w:w w:val="100"/>
          <w:position w:val="0"/>
        </w:rPr>
        <w:t>符合类风湿关节炎诊断标准的病史资料；</w:t>
      </w:r>
    </w:p>
    <w:p>
      <w:pPr>
        <w:pStyle w:val="13"/>
        <w:keepNext w:val="0"/>
        <w:keepLines w:val="0"/>
        <w:widowControl w:val="0"/>
        <w:numPr>
          <w:ilvl w:val="0"/>
          <w:numId w:val="14"/>
        </w:numPr>
        <w:shd w:val="clear" w:color="auto" w:fill="auto"/>
        <w:tabs>
          <w:tab w:val="left" w:pos="1040"/>
        </w:tabs>
        <w:bidi w:val="0"/>
        <w:spacing w:before="0" w:after="0" w:line="643" w:lineRule="exact"/>
        <w:ind w:left="0" w:right="0" w:firstLine="640"/>
        <w:jc w:val="left"/>
        <w:sectPr>
          <w:headerReference r:id="rId59" w:type="default"/>
          <w:footerReference r:id="rId61" w:type="default"/>
          <w:headerReference r:id="rId60" w:type="even"/>
          <w:footerReference r:id="rId62" w:type="even"/>
          <w:footnotePr>
            <w:numFmt w:val="decimal"/>
          </w:footnotePr>
          <w:type w:val="continuous"/>
          <w:pgSz w:w="11900" w:h="16840"/>
          <w:pgMar w:top="1522" w:right="1365" w:bottom="1924" w:left="1484" w:header="1094" w:footer="3" w:gutter="0"/>
          <w:cols w:space="720" w:num="1"/>
          <w:rtlGutter w:val="0"/>
          <w:docGrid w:linePitch="360" w:charSpace="0"/>
        </w:sectPr>
      </w:pPr>
      <w:bookmarkStart w:id="162" w:name="bookmark186"/>
      <w:bookmarkEnd w:id="162"/>
      <w:r>
        <w:rPr>
          <w:color w:val="000000"/>
          <w:spacing w:val="0"/>
          <w:w w:val="100"/>
          <w:position w:val="0"/>
        </w:rPr>
        <w:t>当年处于活动期的证据，须具备以下两条①类风湿因子阳 性或抗环瓜氨酸肽抗体阳性；伴有血沉增快或超敏</w:t>
      </w:r>
      <w:r>
        <w:rPr>
          <w:color w:val="000000"/>
          <w:spacing w:val="0"/>
          <w:w w:val="100"/>
          <w:position w:val="0"/>
          <w:lang w:val="en-US" w:eastAsia="en-US" w:bidi="en-US"/>
        </w:rPr>
        <w:t>C</w:t>
      </w:r>
      <w:r>
        <w:rPr>
          <w:color w:val="000000"/>
          <w:spacing w:val="0"/>
          <w:w w:val="100"/>
          <w:position w:val="0"/>
        </w:rPr>
        <w:t>反应蛋白升</w:t>
      </w:r>
    </w:p>
    <w:p>
      <w:pPr>
        <w:pStyle w:val="13"/>
        <w:keepNext w:val="0"/>
        <w:keepLines w:val="0"/>
        <w:widowControl w:val="0"/>
        <w:shd w:val="clear" w:color="auto" w:fill="auto"/>
        <w:bidi w:val="0"/>
        <w:spacing w:before="0" w:after="0" w:line="660" w:lineRule="exact"/>
        <w:ind w:left="0" w:right="0" w:firstLine="0"/>
        <w:jc w:val="both"/>
      </w:pPr>
      <w:r>
        <w:rPr>
          <w:color w:val="000000"/>
          <w:spacing w:val="0"/>
          <w:w w:val="100"/>
          <w:position w:val="0"/>
        </w:rPr>
        <w:t>高。②关节影像学检查：骨质疏松，或关节间隙狭窄，或关节破 坏，或关节畸形等。</w:t>
      </w:r>
    </w:p>
    <w:p>
      <w:pPr>
        <w:pStyle w:val="13"/>
        <w:keepNext w:val="0"/>
        <w:keepLines w:val="0"/>
        <w:widowControl w:val="0"/>
        <w:shd w:val="clear" w:color="auto" w:fill="auto"/>
        <w:bidi w:val="0"/>
        <w:spacing w:before="0" w:after="0" w:line="660" w:lineRule="exact"/>
        <w:ind w:left="0" w:right="0" w:firstLine="500"/>
        <w:jc w:val="left"/>
      </w:pPr>
      <w:r>
        <w:rPr>
          <w:color w:val="000000"/>
          <w:spacing w:val="0"/>
          <w:w w:val="100"/>
          <w:position w:val="0"/>
        </w:rPr>
        <w:t>血清阴性类风湿关节炎诊断标准：同时具备以下两项：</w:t>
      </w:r>
    </w:p>
    <w:p>
      <w:pPr>
        <w:pStyle w:val="13"/>
        <w:keepNext w:val="0"/>
        <w:keepLines w:val="0"/>
        <w:widowControl w:val="0"/>
        <w:numPr>
          <w:ilvl w:val="0"/>
          <w:numId w:val="15"/>
        </w:numPr>
        <w:shd w:val="clear" w:color="auto" w:fill="auto"/>
        <w:tabs>
          <w:tab w:val="left" w:pos="887"/>
        </w:tabs>
        <w:bidi w:val="0"/>
        <w:spacing w:before="0" w:after="0" w:line="660" w:lineRule="exact"/>
        <w:ind w:left="0" w:right="0" w:firstLine="500"/>
        <w:jc w:val="left"/>
      </w:pPr>
      <w:bookmarkStart w:id="163" w:name="bookmark187"/>
      <w:bookmarkEnd w:id="163"/>
      <w:r>
        <w:rPr>
          <w:color w:val="000000"/>
          <w:spacing w:val="0"/>
          <w:w w:val="100"/>
          <w:position w:val="0"/>
        </w:rPr>
        <w:t>符合类风湿关节炎诊断标准的病史资料；</w:t>
      </w:r>
    </w:p>
    <w:p>
      <w:pPr>
        <w:pStyle w:val="13"/>
        <w:keepNext w:val="0"/>
        <w:keepLines w:val="0"/>
        <w:widowControl w:val="0"/>
        <w:numPr>
          <w:ilvl w:val="0"/>
          <w:numId w:val="15"/>
        </w:numPr>
        <w:shd w:val="clear" w:color="auto" w:fill="auto"/>
        <w:tabs>
          <w:tab w:val="left" w:pos="894"/>
        </w:tabs>
        <w:bidi w:val="0"/>
        <w:spacing w:before="0" w:after="0" w:line="662" w:lineRule="exact"/>
        <w:ind w:left="0" w:right="0" w:firstLine="500"/>
        <w:jc w:val="both"/>
      </w:pPr>
      <w:bookmarkStart w:id="164" w:name="bookmark188"/>
      <w:bookmarkEnd w:id="164"/>
      <w:r>
        <w:rPr>
          <w:color w:val="000000"/>
          <w:spacing w:val="0"/>
          <w:w w:val="100"/>
          <w:position w:val="0"/>
        </w:rPr>
        <w:t>当年处于活动期的证据，须具备以下两条①血沉增快或超 敏</w:t>
      </w:r>
      <w:r>
        <w:rPr>
          <w:color w:val="000000"/>
          <w:spacing w:val="0"/>
          <w:w w:val="100"/>
          <w:position w:val="0"/>
          <w:lang w:val="en-US" w:eastAsia="en-US" w:bidi="en-US"/>
        </w:rPr>
        <w:t>C</w:t>
      </w:r>
      <w:r>
        <w:rPr>
          <w:color w:val="000000"/>
          <w:spacing w:val="0"/>
          <w:w w:val="100"/>
          <w:position w:val="0"/>
        </w:rPr>
        <w:t>反应蛋白升高。②关节影像学检查：关节间隙狭窄，或关节 破坏，或关节畸形等。</w:t>
      </w:r>
    </w:p>
    <w:p>
      <w:pPr>
        <w:pStyle w:val="27"/>
        <w:keepNext/>
        <w:keepLines/>
        <w:widowControl w:val="0"/>
        <w:shd w:val="clear" w:color="auto" w:fill="auto"/>
        <w:bidi w:val="0"/>
        <w:spacing w:before="0" w:after="0" w:line="662" w:lineRule="exact"/>
        <w:ind w:left="0" w:right="0" w:firstLine="660"/>
        <w:jc w:val="both"/>
      </w:pPr>
      <w:bookmarkStart w:id="165" w:name="bookmark189"/>
      <w:bookmarkStart w:id="166" w:name="bookmark190"/>
      <w:bookmarkStart w:id="167" w:name="bookmark191"/>
      <w:r>
        <w:rPr>
          <w:color w:val="000000"/>
          <w:spacing w:val="0"/>
          <w:w w:val="100"/>
          <w:position w:val="0"/>
        </w:rPr>
        <w:t>（三十三）重症精神病</w:t>
      </w:r>
      <w:bookmarkEnd w:id="165"/>
      <w:bookmarkEnd w:id="166"/>
      <w:bookmarkEnd w:id="167"/>
    </w:p>
    <w:p>
      <w:pPr>
        <w:pStyle w:val="13"/>
        <w:keepNext w:val="0"/>
        <w:keepLines w:val="0"/>
        <w:widowControl w:val="0"/>
        <w:shd w:val="clear" w:color="auto" w:fill="auto"/>
        <w:bidi w:val="0"/>
        <w:spacing w:before="0" w:after="0" w:line="662" w:lineRule="exact"/>
        <w:ind w:left="0" w:right="0" w:firstLine="660"/>
        <w:jc w:val="both"/>
      </w:pPr>
      <w:r>
        <w:rPr>
          <w:color w:val="000000"/>
          <w:spacing w:val="0"/>
          <w:w w:val="100"/>
          <w:position w:val="0"/>
        </w:rPr>
        <w:t>符合</w:t>
      </w:r>
      <w:r>
        <w:rPr>
          <w:color w:val="000000"/>
          <w:spacing w:val="0"/>
          <w:w w:val="100"/>
          <w:position w:val="0"/>
          <w:lang w:val="en-US" w:eastAsia="en-US" w:bidi="en-US"/>
        </w:rPr>
        <w:t>CCMD...III</w:t>
      </w:r>
      <w:r>
        <w:rPr>
          <w:color w:val="000000"/>
          <w:spacing w:val="0"/>
          <w:w w:val="100"/>
          <w:position w:val="0"/>
        </w:rPr>
        <w:t>级。分为1.精神分裂症、强迫症、情感性 精神病；2.分裂情感性障碍；3.偏执性精神病；4.双相情感障碍; 5.癫痫所致精神障碍；6.精神发育迟滞伴发精神障碍。以上诊断 标准，经住院治疗一个疗程以上，且需长期服药治疗。</w:t>
      </w:r>
    </w:p>
    <w:p>
      <w:pPr>
        <w:pStyle w:val="27"/>
        <w:keepNext/>
        <w:keepLines/>
        <w:widowControl w:val="0"/>
        <w:shd w:val="clear" w:color="auto" w:fill="auto"/>
        <w:bidi w:val="0"/>
        <w:spacing w:before="0" w:after="0" w:line="660" w:lineRule="exact"/>
        <w:ind w:left="0" w:right="0" w:firstLine="660"/>
        <w:jc w:val="both"/>
      </w:pPr>
      <w:bookmarkStart w:id="168" w:name="bookmark193"/>
      <w:bookmarkStart w:id="169" w:name="bookmark192"/>
      <w:bookmarkStart w:id="170" w:name="bookmark194"/>
      <w:r>
        <w:rPr>
          <w:color w:val="000000"/>
          <w:spacing w:val="0"/>
          <w:w w:val="100"/>
          <w:position w:val="0"/>
        </w:rPr>
        <w:t>（三十四）强直性脊柱炎</w:t>
      </w:r>
      <w:bookmarkEnd w:id="168"/>
      <w:bookmarkEnd w:id="169"/>
      <w:bookmarkEnd w:id="170"/>
    </w:p>
    <w:p>
      <w:pPr>
        <w:pStyle w:val="13"/>
        <w:keepNext w:val="0"/>
        <w:keepLines w:val="0"/>
        <w:widowControl w:val="0"/>
        <w:shd w:val="clear" w:color="auto" w:fill="auto"/>
        <w:bidi w:val="0"/>
        <w:spacing w:before="0" w:after="0" w:line="657" w:lineRule="exact"/>
        <w:ind w:left="0" w:right="0" w:firstLine="660"/>
        <w:jc w:val="both"/>
      </w:pPr>
      <w:r>
        <w:rPr>
          <w:color w:val="000000"/>
          <w:spacing w:val="0"/>
          <w:w w:val="100"/>
          <w:position w:val="0"/>
        </w:rPr>
        <w:t>符合临床标准第（1）项及其他各项中之三项，以及影像学 标准之任何一项者，可诊断为强直性脊柱炎。</w:t>
      </w:r>
    </w:p>
    <w:p>
      <w:pPr>
        <w:pStyle w:val="13"/>
        <w:keepNext w:val="0"/>
        <w:keepLines w:val="0"/>
        <w:widowControl w:val="0"/>
        <w:numPr>
          <w:ilvl w:val="0"/>
          <w:numId w:val="16"/>
        </w:numPr>
        <w:shd w:val="clear" w:color="auto" w:fill="auto"/>
        <w:bidi w:val="0"/>
        <w:spacing w:before="0" w:after="0" w:line="657" w:lineRule="exact"/>
        <w:ind w:left="0" w:right="0" w:firstLine="660"/>
        <w:jc w:val="both"/>
      </w:pPr>
      <w:bookmarkStart w:id="171" w:name="bookmark195"/>
      <w:bookmarkEnd w:id="171"/>
      <w:r>
        <w:rPr>
          <w:color w:val="000000"/>
          <w:spacing w:val="0"/>
          <w:w w:val="100"/>
          <w:position w:val="0"/>
        </w:rPr>
        <w:t>临床表现（1）腰和（或）脊柱、腹股沟、臀部或下肢酸 痛不适，或不对称性外周寡关节炎、尤其是下肢寡关节炎，症状 持续周。（2）夜间痛或晨僵明显。（3）活动后缓解。（4） 足跟痛或其他肌腱附着点病。（5）虹膜睫状体炎现在症或既往 史。（6）强直性脊柱炎家族史或人类白细胞抗原</w:t>
      </w:r>
      <w:r>
        <w:rPr>
          <w:color w:val="000000"/>
          <w:spacing w:val="0"/>
          <w:w w:val="100"/>
          <w:position w:val="0"/>
          <w:lang w:val="en-US" w:eastAsia="en-US" w:bidi="en-US"/>
        </w:rPr>
        <w:t>B27 （HLA-B27）</w:t>
      </w:r>
    </w:p>
    <w:p>
      <w:pPr>
        <w:pStyle w:val="13"/>
        <w:keepNext w:val="0"/>
        <w:keepLines w:val="0"/>
        <w:widowControl w:val="0"/>
        <w:shd w:val="clear" w:color="auto" w:fill="auto"/>
        <w:bidi w:val="0"/>
        <w:spacing w:before="0" w:after="0" w:line="657" w:lineRule="exact"/>
        <w:ind w:left="0" w:right="0" w:firstLine="0"/>
        <w:jc w:val="left"/>
      </w:pPr>
      <w:r>
        <w:rPr>
          <w:color w:val="000000"/>
          <w:spacing w:val="0"/>
          <w:w w:val="100"/>
          <w:position w:val="0"/>
        </w:rPr>
        <w:t>阳性。（7）非甾体抗炎药</w:t>
      </w:r>
      <w:r>
        <w:rPr>
          <w:color w:val="000000"/>
          <w:spacing w:val="0"/>
          <w:w w:val="100"/>
          <w:position w:val="0"/>
          <w:lang w:val="en-US" w:eastAsia="en-US" w:bidi="en-US"/>
        </w:rPr>
        <w:t xml:space="preserve">（NSAIDs </w:t>
      </w:r>
      <w:r>
        <w:rPr>
          <w:color w:val="000000"/>
          <w:spacing w:val="0"/>
          <w:w w:val="100"/>
          <w:position w:val="0"/>
        </w:rPr>
        <w:t>）能迅速缓解症状；</w:t>
      </w:r>
    </w:p>
    <w:p>
      <w:pPr>
        <w:pStyle w:val="13"/>
        <w:keepNext w:val="0"/>
        <w:keepLines w:val="0"/>
        <w:widowControl w:val="0"/>
        <w:numPr>
          <w:ilvl w:val="0"/>
          <w:numId w:val="16"/>
        </w:numPr>
        <w:shd w:val="clear" w:color="auto" w:fill="auto"/>
        <w:bidi w:val="0"/>
        <w:spacing w:before="0" w:after="0" w:line="657" w:lineRule="exact"/>
        <w:ind w:left="0" w:right="0" w:firstLine="800"/>
        <w:jc w:val="both"/>
      </w:pPr>
      <w:bookmarkStart w:id="172" w:name="bookmark196"/>
      <w:bookmarkEnd w:id="172"/>
      <w:r>
        <w:rPr>
          <w:color w:val="000000"/>
          <w:spacing w:val="0"/>
          <w:w w:val="100"/>
          <w:position w:val="0"/>
        </w:rPr>
        <w:t>影像学：（1）双侧X线骶骼关节炎</w:t>
      </w:r>
      <w:r>
        <w:rPr>
          <w:color w:val="000000"/>
          <w:spacing w:val="0"/>
          <w:w w:val="100"/>
          <w:position w:val="0"/>
          <w:lang w:val="en-US" w:eastAsia="en-US" w:bidi="en-US"/>
        </w:rPr>
        <w:t>＞III</w:t>
      </w:r>
      <w:r>
        <w:rPr>
          <w:color w:val="000000"/>
          <w:spacing w:val="0"/>
          <w:w w:val="100"/>
          <w:position w:val="0"/>
        </w:rPr>
        <w:t>期。（2）双 侧</w:t>
      </w:r>
      <w:r>
        <w:rPr>
          <w:color w:val="000000"/>
          <w:spacing w:val="0"/>
          <w:w w:val="100"/>
          <w:position w:val="0"/>
          <w:lang w:val="en-US" w:eastAsia="en-US" w:bidi="en-US"/>
        </w:rPr>
        <w:t>CT</w:t>
      </w:r>
      <w:r>
        <w:rPr>
          <w:color w:val="000000"/>
          <w:spacing w:val="0"/>
          <w:w w:val="100"/>
          <w:position w:val="0"/>
        </w:rPr>
        <w:t>骶骼关节炎</w:t>
      </w:r>
      <w:r>
        <w:rPr>
          <w:color w:val="000000"/>
          <w:spacing w:val="0"/>
          <w:w w:val="100"/>
          <w:position w:val="0"/>
          <w:lang w:val="en-US" w:eastAsia="en-US" w:bidi="en-US"/>
        </w:rPr>
        <w:t>＞II</w:t>
      </w:r>
      <w:r>
        <w:rPr>
          <w:color w:val="000000"/>
          <w:spacing w:val="0"/>
          <w:w w:val="100"/>
          <w:position w:val="0"/>
        </w:rPr>
        <w:t>期。</w:t>
      </w:r>
      <w:r>
        <w:rPr>
          <w:color w:val="000000"/>
          <w:spacing w:val="0"/>
          <w:w w:val="100"/>
          <w:position w:val="0"/>
          <w:lang w:val="en-US" w:eastAsia="en-US" w:bidi="en-US"/>
        </w:rPr>
        <w:t>（3）CT</w:t>
      </w:r>
      <w:r>
        <w:rPr>
          <w:color w:val="000000"/>
          <w:spacing w:val="0"/>
          <w:w w:val="100"/>
          <w:position w:val="0"/>
        </w:rPr>
        <w:t>骶骼关节炎不足II级者，可 行</w:t>
      </w:r>
      <w:r>
        <w:rPr>
          <w:color w:val="000000"/>
          <w:spacing w:val="0"/>
          <w:w w:val="100"/>
          <w:position w:val="0"/>
          <w:lang w:val="en-US" w:eastAsia="en-US" w:bidi="en-US"/>
        </w:rPr>
        <w:t>MRI</w:t>
      </w:r>
      <w:r>
        <w:rPr>
          <w:color w:val="000000"/>
          <w:spacing w:val="0"/>
          <w:w w:val="100"/>
          <w:position w:val="0"/>
        </w:rPr>
        <w:t>检查。如表现软骨破坏、关节旁水肿和（或）广泛脂肪沉 积，尤其动态增强检查关节或关节旁增强强度＞20%,且增强斜 率〉</w:t>
      </w:r>
      <w:r>
        <w:rPr>
          <w:color w:val="000000"/>
          <w:spacing w:val="0"/>
          <w:w w:val="100"/>
          <w:position w:val="0"/>
          <w:lang w:val="en-US" w:eastAsia="en-US" w:bidi="en-US"/>
        </w:rPr>
        <w:t xml:space="preserve">10%/min </w:t>
      </w:r>
      <w:r>
        <w:rPr>
          <w:color w:val="000000"/>
          <w:spacing w:val="0"/>
          <w:w w:val="100"/>
          <w:position w:val="0"/>
        </w:rPr>
        <w:t>者。</w:t>
      </w:r>
    </w:p>
    <w:p>
      <w:pPr>
        <w:pStyle w:val="27"/>
        <w:keepNext/>
        <w:keepLines/>
        <w:widowControl w:val="0"/>
        <w:shd w:val="clear" w:color="auto" w:fill="auto"/>
        <w:bidi w:val="0"/>
        <w:spacing w:before="0" w:after="0" w:line="658" w:lineRule="exact"/>
        <w:ind w:left="0" w:right="0" w:firstLine="800"/>
        <w:jc w:val="both"/>
      </w:pPr>
      <w:bookmarkStart w:id="173" w:name="bookmark197"/>
      <w:bookmarkStart w:id="174" w:name="bookmark198"/>
      <w:bookmarkStart w:id="175" w:name="bookmark199"/>
      <w:r>
        <w:rPr>
          <w:color w:val="000000"/>
          <w:spacing w:val="0"/>
          <w:w w:val="100"/>
          <w:position w:val="0"/>
        </w:rPr>
        <w:t>（三十五）银屑病</w:t>
      </w:r>
      <w:bookmarkEnd w:id="173"/>
      <w:bookmarkEnd w:id="174"/>
      <w:bookmarkEnd w:id="175"/>
    </w:p>
    <w:p>
      <w:pPr>
        <w:pStyle w:val="13"/>
        <w:keepNext w:val="0"/>
        <w:keepLines w:val="0"/>
        <w:widowControl w:val="0"/>
        <w:shd w:val="clear" w:color="auto" w:fill="auto"/>
        <w:bidi w:val="0"/>
        <w:spacing w:before="0" w:after="0" w:line="658" w:lineRule="exact"/>
        <w:ind w:left="0" w:right="0" w:firstLine="640"/>
        <w:jc w:val="both"/>
      </w:pPr>
      <w:r>
        <w:rPr>
          <w:color w:val="000000"/>
          <w:spacing w:val="0"/>
          <w:w w:val="100"/>
          <w:position w:val="0"/>
        </w:rPr>
        <w:t>同时具备（1）及其他任一一项者：（1）慢性银屑病史，临 床表现为皮肤红斑、鳞屑为主，全身均可发病，多于冬季加重；</w:t>
      </w:r>
    </w:p>
    <w:p>
      <w:pPr>
        <w:pStyle w:val="13"/>
        <w:keepNext w:val="0"/>
        <w:keepLines w:val="0"/>
        <w:widowControl w:val="0"/>
        <w:shd w:val="clear" w:color="auto" w:fill="auto"/>
        <w:bidi w:val="0"/>
        <w:spacing w:before="0" w:after="0" w:line="672" w:lineRule="exact"/>
        <w:ind w:left="0" w:right="0" w:firstLine="0"/>
        <w:jc w:val="left"/>
      </w:pPr>
      <w:r>
        <w:rPr>
          <w:color w:val="000000"/>
          <w:spacing w:val="0"/>
          <w:w w:val="100"/>
          <w:position w:val="0"/>
        </w:rPr>
        <w:t>（2）寻常型银屑病；（3）脓疱型银屑病；（4）关节型银屑病； （5）红皮病型银屑病。</w:t>
      </w:r>
    </w:p>
    <w:p>
      <w:pPr>
        <w:pStyle w:val="27"/>
        <w:keepNext/>
        <w:keepLines/>
        <w:widowControl w:val="0"/>
        <w:shd w:val="clear" w:color="auto" w:fill="auto"/>
        <w:bidi w:val="0"/>
        <w:spacing w:before="0" w:after="0" w:line="672" w:lineRule="exact"/>
        <w:ind w:left="0" w:right="0"/>
        <w:jc w:val="both"/>
      </w:pPr>
      <w:bookmarkStart w:id="176" w:name="bookmark201"/>
      <w:bookmarkStart w:id="177" w:name="bookmark200"/>
      <w:bookmarkStart w:id="178" w:name="bookmark202"/>
      <w:r>
        <w:rPr>
          <w:color w:val="000000"/>
          <w:spacing w:val="0"/>
          <w:w w:val="100"/>
          <w:position w:val="0"/>
        </w:rPr>
        <w:t>（三十六）结肠（直肠）息肉内镜治疗</w:t>
      </w:r>
      <w:bookmarkEnd w:id="176"/>
      <w:bookmarkEnd w:id="177"/>
      <w:bookmarkEnd w:id="178"/>
    </w:p>
    <w:p>
      <w:pPr>
        <w:pStyle w:val="13"/>
        <w:keepNext w:val="0"/>
        <w:keepLines w:val="0"/>
        <w:widowControl w:val="0"/>
        <w:shd w:val="clear" w:color="auto" w:fill="auto"/>
        <w:bidi w:val="0"/>
        <w:spacing w:before="0" w:after="0" w:line="657" w:lineRule="exact"/>
        <w:ind w:left="0" w:right="0" w:firstLine="640"/>
        <w:jc w:val="both"/>
      </w:pPr>
      <w:r>
        <w:rPr>
          <w:color w:val="000000"/>
          <w:spacing w:val="0"/>
          <w:w w:val="100"/>
          <w:position w:val="0"/>
        </w:rPr>
        <w:t>内镜下结肠（直肠）息肉切除术限于以下两类情况：</w:t>
      </w:r>
    </w:p>
    <w:p>
      <w:pPr>
        <w:pStyle w:val="13"/>
        <w:keepNext w:val="0"/>
        <w:keepLines w:val="0"/>
        <w:widowControl w:val="0"/>
        <w:shd w:val="clear" w:color="auto" w:fill="auto"/>
        <w:bidi w:val="0"/>
        <w:spacing w:before="0" w:after="0" w:line="676" w:lineRule="exact"/>
        <w:ind w:left="0" w:right="0" w:firstLine="640"/>
        <w:jc w:val="both"/>
      </w:pPr>
      <w:r>
        <w:rPr>
          <w:color w:val="000000"/>
          <w:spacing w:val="0"/>
          <w:w w:val="100"/>
          <w:position w:val="0"/>
        </w:rPr>
        <w:t>①肠息肉</w:t>
      </w:r>
      <w:r>
        <w:rPr>
          <w:color w:val="000000"/>
          <w:spacing w:val="0"/>
          <w:w w:val="100"/>
          <w:position w:val="0"/>
          <w:lang w:val="en-US" w:eastAsia="en-US" w:bidi="en-US"/>
        </w:rPr>
        <w:t>＜5mm,</w:t>
      </w:r>
      <w:r>
        <w:rPr>
          <w:color w:val="000000"/>
          <w:spacing w:val="0"/>
          <w:w w:val="100"/>
          <w:position w:val="0"/>
        </w:rPr>
        <w:t>且内镜放大示病变表面腺体、血管尚规则； ②肠息肉直径约</w:t>
      </w:r>
      <w:r>
        <w:rPr>
          <w:color w:val="000000"/>
          <w:spacing w:val="0"/>
          <w:w w:val="100"/>
          <w:position w:val="0"/>
          <w:lang w:val="en-US" w:eastAsia="en-US" w:bidi="en-US"/>
        </w:rPr>
        <w:t>5-10mm</w:t>
      </w:r>
      <w:r>
        <w:rPr>
          <w:color w:val="000000"/>
          <w:spacing w:val="0"/>
          <w:w w:val="100"/>
          <w:position w:val="0"/>
        </w:rPr>
        <w:t>，且内镜放大示病变表面腺体、血管尚规 则。</w:t>
      </w:r>
    </w:p>
    <w:p>
      <w:pPr>
        <w:pStyle w:val="27"/>
        <w:keepNext/>
        <w:keepLines/>
        <w:widowControl w:val="0"/>
        <w:shd w:val="clear" w:color="auto" w:fill="auto"/>
        <w:bidi w:val="0"/>
        <w:spacing w:before="0" w:after="0" w:line="655" w:lineRule="exact"/>
        <w:ind w:left="0" w:right="0"/>
        <w:jc w:val="both"/>
      </w:pPr>
      <w:bookmarkStart w:id="179" w:name="bookmark205"/>
      <w:bookmarkStart w:id="180" w:name="bookmark203"/>
      <w:bookmarkStart w:id="181" w:name="bookmark204"/>
      <w:r>
        <w:rPr>
          <w:color w:val="000000"/>
          <w:spacing w:val="0"/>
          <w:w w:val="100"/>
          <w:position w:val="0"/>
        </w:rPr>
        <w:t>（三十七）重症肌无力</w:t>
      </w:r>
      <w:bookmarkEnd w:id="179"/>
      <w:bookmarkEnd w:id="180"/>
      <w:bookmarkEnd w:id="181"/>
    </w:p>
    <w:p>
      <w:pPr>
        <w:pStyle w:val="13"/>
        <w:keepNext w:val="0"/>
        <w:keepLines w:val="0"/>
        <w:widowControl w:val="0"/>
        <w:shd w:val="clear" w:color="auto" w:fill="auto"/>
        <w:bidi w:val="0"/>
        <w:spacing w:before="0" w:after="0" w:line="655" w:lineRule="exact"/>
        <w:ind w:left="0" w:right="0" w:firstLine="480"/>
        <w:jc w:val="both"/>
      </w:pPr>
      <w:r>
        <w:rPr>
          <w:color w:val="000000"/>
          <w:spacing w:val="0"/>
          <w:w w:val="100"/>
          <w:position w:val="0"/>
        </w:rPr>
        <w:t>同时具备以下两项：1.三甲医院住院病历；2.同时具备以下 （1）项与（2）至（4）项之一：（1）具有病态疲劳性和每日</w:t>
      </w:r>
      <w:r>
        <w:rPr>
          <w:color w:val="000000"/>
          <w:spacing w:val="0"/>
          <w:w w:val="100"/>
          <w:position w:val="0"/>
          <w:lang w:val="zh-CN" w:eastAsia="zh-CN" w:bidi="zh-CN"/>
        </w:rPr>
        <w:t xml:space="preserve">“晨 </w:t>
      </w:r>
      <w:r>
        <w:rPr>
          <w:color w:val="000000"/>
          <w:spacing w:val="0"/>
          <w:w w:val="100"/>
          <w:position w:val="0"/>
        </w:rPr>
        <w:t>轻暮重</w:t>
      </w:r>
      <w:r>
        <w:rPr>
          <w:color w:val="000000"/>
          <w:spacing w:val="0"/>
          <w:w w:val="100"/>
          <w:position w:val="0"/>
          <w:lang w:val="zh-CN" w:eastAsia="zh-CN" w:bidi="zh-CN"/>
        </w:rPr>
        <w:t>”波</w:t>
      </w:r>
      <w:r>
        <w:rPr>
          <w:color w:val="000000"/>
          <w:spacing w:val="0"/>
          <w:w w:val="100"/>
          <w:position w:val="0"/>
        </w:rPr>
        <w:t>动性的肌无力表现；（2）骨骼肌疲劳试验阳性；（3） 新斯的明试验阳性；</w:t>
      </w:r>
      <w:r>
        <w:rPr>
          <w:color w:val="000000"/>
          <w:spacing w:val="0"/>
          <w:w w:val="100"/>
          <w:position w:val="0"/>
          <w:lang w:val="zh-CN" w:eastAsia="zh-CN" w:bidi="zh-CN"/>
        </w:rPr>
        <w:t>（4）</w:t>
      </w:r>
      <w:r>
        <w:rPr>
          <w:color w:val="000000"/>
          <w:spacing w:val="0"/>
          <w:w w:val="100"/>
          <w:position w:val="0"/>
        </w:rPr>
        <w:t>重复神经电刺激阳性。</w:t>
      </w:r>
    </w:p>
    <w:p>
      <w:pPr>
        <w:pStyle w:val="27"/>
        <w:keepNext/>
        <w:keepLines/>
        <w:widowControl w:val="0"/>
        <w:shd w:val="clear" w:color="auto" w:fill="auto"/>
        <w:bidi w:val="0"/>
        <w:spacing w:before="0" w:after="0" w:line="673" w:lineRule="exact"/>
        <w:ind w:left="0" w:right="0" w:firstLine="800"/>
        <w:jc w:val="left"/>
      </w:pPr>
      <w:bookmarkStart w:id="182" w:name="bookmark208"/>
      <w:bookmarkStart w:id="183" w:name="bookmark207"/>
      <w:bookmarkStart w:id="184" w:name="bookmark206"/>
      <w:r>
        <w:rPr>
          <w:color w:val="000000"/>
          <w:spacing w:val="0"/>
          <w:w w:val="100"/>
          <w:position w:val="0"/>
        </w:rPr>
        <w:t>（三十八）白瘢风</w:t>
      </w:r>
      <w:bookmarkEnd w:id="182"/>
      <w:bookmarkEnd w:id="183"/>
      <w:bookmarkEnd w:id="184"/>
    </w:p>
    <w:p>
      <w:pPr>
        <w:pStyle w:val="13"/>
        <w:keepNext w:val="0"/>
        <w:keepLines w:val="0"/>
        <w:widowControl w:val="0"/>
        <w:shd w:val="clear" w:color="auto" w:fill="auto"/>
        <w:bidi w:val="0"/>
        <w:spacing w:before="0" w:after="0" w:line="673" w:lineRule="exact"/>
        <w:ind w:left="0" w:right="0" w:firstLine="660"/>
        <w:jc w:val="both"/>
      </w:pPr>
      <w:r>
        <w:rPr>
          <w:color w:val="000000"/>
          <w:spacing w:val="0"/>
          <w:w w:val="100"/>
          <w:position w:val="0"/>
        </w:rPr>
        <w:t>同时具备以下两项者：（1）慢性白癜风病史；（2）急性发 病，原有白斑明显加大或数量急剧增多；（3）面肢端型，影响 美观。</w:t>
      </w:r>
    </w:p>
    <w:p>
      <w:pPr>
        <w:pStyle w:val="27"/>
        <w:keepNext/>
        <w:keepLines/>
        <w:widowControl w:val="0"/>
        <w:shd w:val="clear" w:color="auto" w:fill="auto"/>
        <w:bidi w:val="0"/>
        <w:spacing w:before="0" w:after="0" w:line="662" w:lineRule="exact"/>
        <w:ind w:left="0" w:right="0" w:firstLine="660"/>
        <w:jc w:val="both"/>
      </w:pPr>
      <w:bookmarkStart w:id="185" w:name="bookmark209"/>
      <w:bookmarkStart w:id="186" w:name="bookmark210"/>
      <w:bookmarkStart w:id="187" w:name="bookmark211"/>
      <w:r>
        <w:rPr>
          <w:color w:val="000000"/>
          <w:spacing w:val="0"/>
          <w:w w:val="100"/>
          <w:position w:val="0"/>
        </w:rPr>
        <w:t>（三十九）系统性红斑狼疮</w:t>
      </w:r>
      <w:bookmarkEnd w:id="185"/>
      <w:bookmarkEnd w:id="186"/>
      <w:bookmarkEnd w:id="187"/>
    </w:p>
    <w:p>
      <w:pPr>
        <w:pStyle w:val="13"/>
        <w:keepNext w:val="0"/>
        <w:keepLines w:val="0"/>
        <w:widowControl w:val="0"/>
        <w:shd w:val="clear" w:color="auto" w:fill="auto"/>
        <w:bidi w:val="0"/>
        <w:spacing w:before="0" w:after="0" w:line="662" w:lineRule="exact"/>
        <w:ind w:left="0" w:right="0" w:firstLine="660"/>
        <w:jc w:val="both"/>
      </w:pPr>
      <w:r>
        <w:rPr>
          <w:color w:val="000000"/>
          <w:spacing w:val="0"/>
          <w:w w:val="100"/>
          <w:position w:val="0"/>
          <w:shd w:val="clear" w:color="auto" w:fill="FFFFFF"/>
        </w:rPr>
        <w:t>符合美国风湿病学会1997年</w:t>
      </w:r>
      <w:r>
        <w:rPr>
          <w:color w:val="000000"/>
          <w:spacing w:val="0"/>
          <w:w w:val="100"/>
          <w:position w:val="0"/>
          <w:shd w:val="clear" w:color="auto" w:fill="FFFFFF"/>
          <w:lang w:val="en-US" w:eastAsia="en-US" w:bidi="en-US"/>
        </w:rPr>
        <w:t>SLE</w:t>
      </w:r>
      <w:r>
        <w:rPr>
          <w:color w:val="000000"/>
          <w:spacing w:val="0"/>
          <w:w w:val="100"/>
          <w:position w:val="0"/>
          <w:shd w:val="clear" w:color="auto" w:fill="FFFFFF"/>
        </w:rPr>
        <w:t>分类标准，有1个或一个 以上脏器损害的中、重度病人。</w:t>
      </w:r>
      <w:r>
        <w:rPr>
          <w:color w:val="000000"/>
          <w:spacing w:val="0"/>
          <w:w w:val="100"/>
          <w:position w:val="0"/>
          <w:shd w:val="clear" w:color="auto" w:fill="FFFFFF"/>
          <w:lang w:val="en-US" w:eastAsia="en-US" w:bidi="en-US"/>
        </w:rPr>
        <w:t>SLE</w:t>
      </w:r>
      <w:r>
        <w:rPr>
          <w:color w:val="000000"/>
          <w:spacing w:val="0"/>
          <w:w w:val="100"/>
          <w:position w:val="0"/>
          <w:shd w:val="clear" w:color="auto" w:fill="FFFFFF"/>
        </w:rPr>
        <w:t>分类标准：符合下述中的4 项或以上方可诊断系统性红斑狼疮。1.颊部红斑；2.盘状红斑；</w:t>
      </w:r>
    </w:p>
    <w:p>
      <w:pPr>
        <w:pStyle w:val="13"/>
        <w:keepNext w:val="0"/>
        <w:keepLines w:val="0"/>
        <w:widowControl w:val="0"/>
        <w:numPr>
          <w:ilvl w:val="0"/>
          <w:numId w:val="16"/>
        </w:numPr>
        <w:shd w:val="clear" w:color="auto" w:fill="auto"/>
        <w:bidi w:val="0"/>
        <w:spacing w:before="0" w:after="0" w:line="662" w:lineRule="exact"/>
        <w:ind w:left="0" w:right="0" w:firstLine="0"/>
        <w:jc w:val="both"/>
      </w:pPr>
      <w:bookmarkStart w:id="188" w:name="bookmark212"/>
      <w:bookmarkEnd w:id="188"/>
      <w:r>
        <w:rPr>
          <w:color w:val="000000"/>
          <w:spacing w:val="0"/>
          <w:w w:val="100"/>
          <w:position w:val="0"/>
        </w:rPr>
        <w:t>光过敏；4.口腔溃疡；5.非侵蚀性关节炎；6.浆膜炎、胸膜炎 或心包炎；</w:t>
      </w:r>
      <w:r>
        <w:rPr>
          <w:color w:val="000000"/>
          <w:spacing w:val="0"/>
          <w:w w:val="100"/>
          <w:position w:val="0"/>
          <w:lang w:val="en-US" w:eastAsia="en-US" w:bidi="en-US"/>
        </w:rPr>
        <w:t>7.</w:t>
      </w:r>
      <w:r>
        <w:rPr>
          <w:color w:val="000000"/>
          <w:spacing w:val="0"/>
          <w:w w:val="100"/>
          <w:position w:val="0"/>
        </w:rPr>
        <w:t>蛋白尿（</w:t>
      </w:r>
      <w:r>
        <w:rPr>
          <w:color w:val="000000"/>
          <w:spacing w:val="0"/>
          <w:w w:val="100"/>
          <w:position w:val="0"/>
          <w:lang w:val="en-US" w:eastAsia="en-US" w:bidi="en-US"/>
        </w:rPr>
        <w:t xml:space="preserve">＞0.5g/24h </w:t>
      </w:r>
      <w:r>
        <w:rPr>
          <w:color w:val="000000"/>
          <w:spacing w:val="0"/>
          <w:w w:val="100"/>
          <w:position w:val="0"/>
        </w:rPr>
        <w:t>）或管型；</w:t>
      </w:r>
      <w:r>
        <w:rPr>
          <w:color w:val="000000"/>
          <w:spacing w:val="0"/>
          <w:w w:val="100"/>
          <w:position w:val="0"/>
          <w:lang w:val="en-US" w:eastAsia="en-US" w:bidi="en-US"/>
        </w:rPr>
        <w:t>8.</w:t>
      </w:r>
      <w:r>
        <w:rPr>
          <w:color w:val="000000"/>
          <w:spacing w:val="0"/>
          <w:w w:val="100"/>
          <w:position w:val="0"/>
        </w:rPr>
        <w:t>癫痫发作或精神 病；</w:t>
      </w:r>
      <w:r>
        <w:rPr>
          <w:color w:val="000000"/>
          <w:spacing w:val="0"/>
          <w:w w:val="100"/>
          <w:position w:val="0"/>
          <w:lang w:val="en-US" w:eastAsia="en-US" w:bidi="en-US"/>
        </w:rPr>
        <w:t>9.</w:t>
      </w:r>
      <w:r>
        <w:rPr>
          <w:color w:val="000000"/>
          <w:spacing w:val="0"/>
          <w:w w:val="100"/>
          <w:position w:val="0"/>
        </w:rPr>
        <w:t>溶血性贫血或白细胞减少或淋巴细胞减少或血小板减少； 10.抗抗双链</w:t>
      </w:r>
      <w:r>
        <w:rPr>
          <w:color w:val="000000"/>
          <w:spacing w:val="0"/>
          <w:w w:val="100"/>
          <w:position w:val="0"/>
          <w:lang w:val="en-US" w:eastAsia="en-US" w:bidi="en-US"/>
        </w:rPr>
        <w:t xml:space="preserve">DNA </w:t>
      </w:r>
      <w:r>
        <w:rPr>
          <w:color w:val="000000"/>
          <w:spacing w:val="0"/>
          <w:w w:val="100"/>
          <w:position w:val="0"/>
        </w:rPr>
        <w:t xml:space="preserve">（ </w:t>
      </w:r>
      <w:r>
        <w:rPr>
          <w:color w:val="000000"/>
          <w:spacing w:val="0"/>
          <w:w w:val="100"/>
          <w:position w:val="0"/>
          <w:lang w:val="en-US" w:eastAsia="en-US" w:bidi="en-US"/>
        </w:rPr>
        <w:t xml:space="preserve">ds-DNA </w:t>
      </w:r>
      <w:r>
        <w:rPr>
          <w:color w:val="000000"/>
          <w:spacing w:val="0"/>
          <w:w w:val="100"/>
          <w:position w:val="0"/>
        </w:rPr>
        <w:t>）抗体阳性，或抗</w:t>
      </w:r>
      <w:r>
        <w:rPr>
          <w:color w:val="000000"/>
          <w:spacing w:val="0"/>
          <w:w w:val="100"/>
          <w:position w:val="0"/>
          <w:lang w:val="en-US" w:eastAsia="en-US" w:bidi="en-US"/>
        </w:rPr>
        <w:t>Sm</w:t>
      </w:r>
      <w:r>
        <w:rPr>
          <w:color w:val="000000"/>
          <w:spacing w:val="0"/>
          <w:w w:val="100"/>
          <w:position w:val="0"/>
        </w:rPr>
        <w:t>抗体阳性，或抗 磷脂抗体阳性（包括抗心磷脂抗体、或狼疮抗凝物、或至少持续 6个月梅毒血清试验假阳性三者中具备一项阳性）；</w:t>
      </w:r>
      <w:r>
        <w:rPr>
          <w:color w:val="000000"/>
          <w:spacing w:val="0"/>
          <w:w w:val="100"/>
          <w:position w:val="0"/>
          <w:lang w:val="en-US" w:eastAsia="en-US" w:bidi="en-US"/>
        </w:rPr>
        <w:t>11.</w:t>
      </w:r>
      <w:r>
        <w:rPr>
          <w:color w:val="000000"/>
          <w:spacing w:val="0"/>
          <w:w w:val="100"/>
          <w:position w:val="0"/>
        </w:rPr>
        <w:t>荧光抗 核抗体阳性。</w:t>
      </w:r>
    </w:p>
    <w:p>
      <w:pPr>
        <w:pStyle w:val="27"/>
        <w:keepNext/>
        <w:keepLines/>
        <w:widowControl w:val="0"/>
        <w:shd w:val="clear" w:color="auto" w:fill="auto"/>
        <w:bidi w:val="0"/>
        <w:spacing w:before="0" w:after="0" w:line="662" w:lineRule="exact"/>
        <w:ind w:left="0" w:right="0" w:firstLine="660"/>
        <w:jc w:val="both"/>
      </w:pPr>
      <w:bookmarkStart w:id="189" w:name="bookmark214"/>
      <w:bookmarkStart w:id="190" w:name="bookmark215"/>
      <w:bookmarkStart w:id="191" w:name="bookmark213"/>
      <w:r>
        <w:rPr>
          <w:color w:val="000000"/>
          <w:spacing w:val="0"/>
          <w:w w:val="100"/>
          <w:position w:val="0"/>
        </w:rPr>
        <w:t>（四十）艾滋病</w:t>
      </w:r>
      <w:bookmarkEnd w:id="189"/>
      <w:bookmarkEnd w:id="190"/>
      <w:bookmarkEnd w:id="191"/>
    </w:p>
    <w:p>
      <w:pPr>
        <w:pStyle w:val="13"/>
        <w:keepNext w:val="0"/>
        <w:keepLines w:val="0"/>
        <w:widowControl w:val="0"/>
        <w:shd w:val="clear" w:color="auto" w:fill="auto"/>
        <w:bidi w:val="0"/>
        <w:spacing w:before="0" w:after="0" w:line="662" w:lineRule="exact"/>
        <w:ind w:left="0" w:right="0" w:firstLine="660"/>
        <w:jc w:val="both"/>
        <w:sectPr>
          <w:headerReference r:id="rId63" w:type="default"/>
          <w:footerReference r:id="rId65" w:type="default"/>
          <w:headerReference r:id="rId64" w:type="even"/>
          <w:footerReference r:id="rId66" w:type="even"/>
          <w:footnotePr>
            <w:numFmt w:val="decimal"/>
          </w:footnotePr>
          <w:type w:val="continuous"/>
          <w:pgSz w:w="11900" w:h="16840"/>
          <w:pgMar w:top="1522" w:right="1365" w:bottom="1924" w:left="1484" w:header="1094" w:footer="3" w:gutter="0"/>
          <w:cols w:space="720" w:num="1"/>
          <w:rtlGutter w:val="0"/>
          <w:docGrid w:linePitch="360" w:charSpace="0"/>
        </w:sectPr>
      </w:pPr>
      <w:r>
        <w:rPr>
          <w:color w:val="000000"/>
          <w:spacing w:val="0"/>
          <w:w w:val="100"/>
          <w:position w:val="0"/>
        </w:rPr>
        <w:t>人类免疫缺陷病毒</w:t>
      </w:r>
      <w:r>
        <w:rPr>
          <w:b/>
          <w:bCs/>
          <w:color w:val="000000"/>
          <w:spacing w:val="0"/>
          <w:w w:val="100"/>
          <w:position w:val="0"/>
          <w:lang w:val="en-US" w:eastAsia="en-US" w:bidi="en-US"/>
        </w:rPr>
        <w:t>（</w:t>
      </w:r>
      <w:r>
        <w:rPr>
          <w:color w:val="000000"/>
          <w:spacing w:val="0"/>
          <w:w w:val="100"/>
          <w:position w:val="0"/>
          <w:lang w:val="en-US" w:eastAsia="en-US" w:bidi="en-US"/>
        </w:rPr>
        <w:t>HIV,</w:t>
      </w:r>
      <w:r>
        <w:rPr>
          <w:color w:val="000000"/>
          <w:spacing w:val="0"/>
          <w:w w:val="100"/>
          <w:position w:val="0"/>
        </w:rPr>
        <w:t>通常所说的艾滋病病毒</w:t>
      </w:r>
      <w:r>
        <w:rPr>
          <w:b/>
          <w:bCs/>
          <w:color w:val="000000"/>
          <w:spacing w:val="0"/>
          <w:w w:val="100"/>
          <w:position w:val="0"/>
        </w:rPr>
        <w:t>）</w:t>
      </w:r>
      <w:r>
        <w:rPr>
          <w:color w:val="000000"/>
          <w:spacing w:val="0"/>
          <w:w w:val="100"/>
          <w:position w:val="0"/>
        </w:rPr>
        <w:t>初筛抗 体阳性，经市疾病控制中心确诊实验阳性，明确</w:t>
      </w:r>
      <w:r>
        <w:rPr>
          <w:color w:val="000000"/>
          <w:spacing w:val="0"/>
          <w:w w:val="100"/>
          <w:position w:val="0"/>
          <w:lang w:val="en-US" w:eastAsia="en-US" w:bidi="en-US"/>
        </w:rPr>
        <w:t>HIV</w:t>
      </w:r>
      <w:r>
        <w:rPr>
          <w:color w:val="000000"/>
          <w:spacing w:val="0"/>
          <w:w w:val="100"/>
          <w:position w:val="0"/>
        </w:rPr>
        <w:t>感染者的， 应积极给予国家免费抗病毒药物治疗。</w:t>
      </w:r>
    </w:p>
    <w:p>
      <w:pPr>
        <w:pStyle w:val="27"/>
        <w:keepNext/>
        <w:keepLines/>
        <w:widowControl w:val="0"/>
        <w:shd w:val="clear" w:color="auto" w:fill="auto"/>
        <w:bidi w:val="0"/>
        <w:spacing w:before="0" w:after="300" w:line="240" w:lineRule="auto"/>
        <w:ind w:left="0" w:right="0"/>
        <w:jc w:val="left"/>
      </w:pPr>
      <w:bookmarkStart w:id="192" w:name="bookmark217"/>
      <w:bookmarkStart w:id="193" w:name="bookmark218"/>
      <w:bookmarkStart w:id="194" w:name="bookmark216"/>
      <w:r>
        <w:rPr>
          <w:color w:val="000000"/>
          <w:spacing w:val="0"/>
          <w:w w:val="100"/>
          <w:position w:val="0"/>
        </w:rPr>
        <w:t>（四十一）苯丙酮尿症</w:t>
      </w:r>
      <w:bookmarkEnd w:id="192"/>
      <w:bookmarkEnd w:id="193"/>
      <w:bookmarkEnd w:id="194"/>
    </w:p>
    <w:p>
      <w:pPr>
        <w:pStyle w:val="13"/>
        <w:keepNext w:val="0"/>
        <w:keepLines w:val="0"/>
        <w:widowControl w:val="0"/>
        <w:shd w:val="clear" w:color="auto" w:fill="auto"/>
        <w:bidi w:val="0"/>
        <w:spacing w:before="0" w:after="300" w:line="240" w:lineRule="auto"/>
        <w:ind w:left="0" w:right="0" w:firstLine="640"/>
        <w:jc w:val="left"/>
      </w:pPr>
      <w:r>
        <w:rPr>
          <w:color w:val="000000"/>
          <w:spacing w:val="0"/>
          <w:w w:val="100"/>
          <w:position w:val="0"/>
        </w:rPr>
        <w:t>1・临床表现有：生长发育迟缓、神经精神表现、皮肤毛发表 现、汗液和尿中有霉臭味（鼠气味）；</w:t>
      </w:r>
    </w:p>
    <w:p>
      <w:pPr>
        <w:pStyle w:val="13"/>
        <w:keepNext w:val="0"/>
        <w:keepLines w:val="0"/>
        <w:widowControl w:val="0"/>
        <w:shd w:val="clear" w:color="auto" w:fill="auto"/>
        <w:bidi w:val="0"/>
        <w:spacing w:before="0" w:after="300" w:line="240" w:lineRule="auto"/>
        <w:ind w:left="0" w:right="0" w:firstLine="640"/>
        <w:jc w:val="left"/>
      </w:pPr>
      <w:r>
        <w:rPr>
          <w:color w:val="000000"/>
          <w:spacing w:val="0"/>
          <w:w w:val="100"/>
          <w:position w:val="0"/>
          <w:lang w:val="en-US" w:eastAsia="en-US" w:bidi="en-US"/>
        </w:rPr>
        <w:t>2.</w:t>
      </w:r>
      <w:r>
        <w:rPr>
          <w:color w:val="000000"/>
          <w:spacing w:val="0"/>
          <w:w w:val="100"/>
          <w:position w:val="0"/>
        </w:rPr>
        <w:t>辅助检查：血苯丙氨酸浓度测定大于</w:t>
      </w:r>
    </w:p>
    <w:p>
      <w:pPr>
        <w:pStyle w:val="13"/>
        <w:keepNext w:val="0"/>
        <w:keepLines w:val="0"/>
        <w:widowControl w:val="0"/>
        <w:shd w:val="clear" w:color="auto" w:fill="auto"/>
        <w:bidi w:val="0"/>
        <w:spacing w:before="0" w:after="300" w:line="240" w:lineRule="auto"/>
        <w:ind w:left="0" w:right="0" w:firstLine="0"/>
        <w:jc w:val="left"/>
      </w:pPr>
      <w:r>
        <w:rPr>
          <w:color w:val="000000"/>
          <w:spacing w:val="0"/>
          <w:w w:val="100"/>
          <w:position w:val="0"/>
          <w:lang w:val="en-US" w:eastAsia="en-US" w:bidi="en-US"/>
        </w:rPr>
        <w:t>0. 12mmo/L （2mg/dl）</w:t>
      </w:r>
      <w:r>
        <w:rPr>
          <w:color w:val="000000"/>
          <w:spacing w:val="0"/>
          <w:w w:val="100"/>
          <w:position w:val="0"/>
        </w:rPr>
        <w:t>。</w:t>
      </w:r>
    </w:p>
    <w:p>
      <w:pPr>
        <w:pStyle w:val="13"/>
        <w:keepNext w:val="0"/>
        <w:keepLines w:val="0"/>
        <w:widowControl w:val="0"/>
        <w:shd w:val="clear" w:color="auto" w:fill="auto"/>
        <w:bidi w:val="0"/>
        <w:spacing w:before="0" w:after="300" w:line="240" w:lineRule="auto"/>
        <w:ind w:left="0" w:right="0" w:firstLine="640"/>
        <w:jc w:val="left"/>
      </w:pPr>
      <w:r>
        <w:rPr>
          <w:color w:val="000000"/>
          <w:spacing w:val="0"/>
          <w:w w:val="100"/>
          <w:position w:val="0"/>
        </w:rPr>
        <w:t>需要长期服用低苯丙氨酸奶粉或者食品。</w:t>
      </w:r>
    </w:p>
    <w:sectPr>
      <w:headerReference r:id="rId67" w:type="default"/>
      <w:footerReference r:id="rId69" w:type="default"/>
      <w:headerReference r:id="rId68" w:type="even"/>
      <w:footerReference r:id="rId70" w:type="even"/>
      <w:footnotePr>
        <w:numFmt w:val="decimal"/>
      </w:footnotePr>
      <w:type w:val="continuous"/>
      <w:pgSz w:w="11900" w:h="16840"/>
      <w:pgMar w:top="1522" w:right="1365" w:bottom="1924" w:left="1484" w:header="1094"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3673475</wp:posOffset>
              </wp:positionH>
              <wp:positionV relativeFrom="page">
                <wp:posOffset>10023475</wp:posOffset>
              </wp:positionV>
              <wp:extent cx="267970" cy="90170"/>
              <wp:effectExtent l="0" t="0" r="0" b="0"/>
              <wp:wrapNone/>
              <wp:docPr id="1" name="Shape 1"/>
              <wp:cNvGraphicFramePr/>
              <a:graphic xmlns:a="http://schemas.openxmlformats.org/drawingml/2006/main">
                <a:graphicData uri="http://schemas.microsoft.com/office/word/2010/wordprocessingShape">
                  <wps:wsp>
                    <wps:cNvSpPr txBox="true"/>
                    <wps:spPr>
                      <a:xfrm>
                        <a:off x="0" y="0"/>
                        <a:ext cx="267970" cy="9017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000000"/>
                              <w:spacing w:val="0"/>
                              <w:w w:val="100"/>
                              <w:position w:val="0"/>
                              <w:sz w:val="30"/>
                              <w:szCs w:val="30"/>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30"/>
                              <w:szCs w:val="30"/>
                              <w:lang w:val="en-US" w:eastAsia="en-US" w:bidi="en-US"/>
                            </w:rPr>
                            <w:t>#</w:t>
                          </w:r>
                          <w:r>
                            <w:rPr>
                              <w:rFonts w:ascii="宋体" w:hAnsi="宋体" w:eastAsia="宋体" w:cs="宋体"/>
                              <w:color w:val="000000"/>
                              <w:spacing w:val="0"/>
                              <w:w w:val="100"/>
                              <w:position w:val="0"/>
                              <w:sz w:val="30"/>
                              <w:szCs w:val="30"/>
                              <w:lang w:val="en-US" w:eastAsia="en-US" w:bidi="en-US"/>
                            </w:rPr>
                            <w:fldChar w:fldCharType="end"/>
                          </w:r>
                          <w:r>
                            <w:rPr>
                              <w:rFonts w:ascii="宋体" w:hAnsi="宋体" w:eastAsia="宋体" w:cs="宋体"/>
                              <w:color w:val="000000"/>
                              <w:spacing w:val="0"/>
                              <w:w w:val="100"/>
                              <w:position w:val="0"/>
                              <w:sz w:val="30"/>
                              <w:szCs w:val="30"/>
                            </w:rPr>
                            <w:t>-</w:t>
                          </w:r>
                        </w:p>
                      </w:txbxContent>
                    </wps:txbx>
                    <wps:bodyPr wrap="none" lIns="0" tIns="0" rIns="0" bIns="0">
                      <a:spAutoFit/>
                    </wps:bodyPr>
                  </wps:wsp>
                </a:graphicData>
              </a:graphic>
            </wp:anchor>
          </w:drawing>
        </mc:Choice>
        <mc:Fallback>
          <w:pict>
            <v:shape id="Shape 1" o:spid="_x0000_s1026" o:spt="202" type="#_x0000_t202" style="position:absolute;left:0pt;margin-left:289.25pt;margin-top:789.25pt;height:7.1pt;width:21.1pt;mso-position-horizontal-relative:page;mso-position-vertical-relative:page;mso-wrap-style:none;z-index:-251657216;mso-width-relative:page;mso-height-relative:page;" filled="f" stroked="f" coordsize="21600,21600" o:gfxdata="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WAAAAZHJzL1BLAQIUABQAAAAIAIdO4kDzwqT51wAAAA0BAAAP&#10;AAAAAAAAAAEAIAAAADgAAABkcnMvZG93bnJldi54bWxQSwECFAAUAAAACACHTuJALl0X/JEBAAAj&#10;AwAADgAAAAAAAAABACAAAAA8AQAAZHJzL2Uyb0RvYy54bWxQSwUGAAAAAAYABgBZAQAAPw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000000"/>
                        <w:spacing w:val="0"/>
                        <w:w w:val="100"/>
                        <w:position w:val="0"/>
                        <w:sz w:val="30"/>
                        <w:szCs w:val="30"/>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30"/>
                        <w:szCs w:val="30"/>
                        <w:lang w:val="en-US" w:eastAsia="en-US" w:bidi="en-US"/>
                      </w:rPr>
                      <w:t>#</w:t>
                    </w:r>
                    <w:r>
                      <w:rPr>
                        <w:rFonts w:ascii="宋体" w:hAnsi="宋体" w:eastAsia="宋体" w:cs="宋体"/>
                        <w:color w:val="000000"/>
                        <w:spacing w:val="0"/>
                        <w:w w:val="100"/>
                        <w:position w:val="0"/>
                        <w:sz w:val="30"/>
                        <w:szCs w:val="30"/>
                        <w:lang w:val="en-US" w:eastAsia="en-US" w:bidi="en-US"/>
                      </w:rPr>
                      <w:fldChar w:fldCharType="end"/>
                    </w:r>
                    <w:r>
                      <w:rPr>
                        <w:rFonts w:ascii="宋体" w:hAnsi="宋体" w:eastAsia="宋体" w:cs="宋体"/>
                        <w:color w:val="000000"/>
                        <w:spacing w:val="0"/>
                        <w:w w:val="100"/>
                        <w:position w:val="0"/>
                        <w:sz w:val="30"/>
                        <w:szCs w:val="30"/>
                      </w:rP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3620770</wp:posOffset>
              </wp:positionH>
              <wp:positionV relativeFrom="page">
                <wp:posOffset>9974580</wp:posOffset>
              </wp:positionV>
              <wp:extent cx="335280" cy="90170"/>
              <wp:effectExtent l="0" t="0" r="0" b="0"/>
              <wp:wrapNone/>
              <wp:docPr id="29" name="Shape 29"/>
              <wp:cNvGraphicFramePr/>
              <a:graphic xmlns:a="http://schemas.openxmlformats.org/drawingml/2006/main">
                <a:graphicData uri="http://schemas.microsoft.com/office/word/2010/wordprocessingShape">
                  <wps:wsp>
                    <wps:cNvSpPr txBox="true"/>
                    <wps:spPr>
                      <a:xfrm>
                        <a:off x="0" y="0"/>
                        <a:ext cx="335280" cy="9017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w:t>
                          </w:r>
                        </w:p>
                      </w:txbxContent>
                    </wps:txbx>
                    <wps:bodyPr wrap="none" lIns="0" tIns="0" rIns="0" bIns="0">
                      <a:spAutoFit/>
                    </wps:bodyPr>
                  </wps:wsp>
                </a:graphicData>
              </a:graphic>
            </wp:anchor>
          </w:drawing>
        </mc:Choice>
        <mc:Fallback>
          <w:pict>
            <v:shape id="Shape 29" o:spid="_x0000_s1026" o:spt="202" type="#_x0000_t202" style="position:absolute;left:0pt;margin-left:285.1pt;margin-top:785.4pt;height:7.1pt;width:26.4pt;mso-position-horizontal-relative:page;mso-position-vertical-relative:page;mso-wrap-style:none;z-index:-251657216;mso-width-relative:page;mso-height-relative:page;" filled="f" stroked="f" coordsize="21600,21600" o:gfxdata="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K4GsxLXAAAADQEA&#10;AA8AAAAAAAAAAQAgAAAAOAAAAGRycy9kb3ducmV2LnhtbFBLAQIUABQAAAAIAIdO4kDatHdbkwEA&#10;ACUDAAAOAAAAAAAAAAEAIAAAADwBAABkcnMvZTJvRG9jLnhtbFBLBQYAAAAABgAGAFkBAABBBQAA&#10;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3620770</wp:posOffset>
              </wp:positionH>
              <wp:positionV relativeFrom="page">
                <wp:posOffset>9974580</wp:posOffset>
              </wp:positionV>
              <wp:extent cx="335280" cy="90170"/>
              <wp:effectExtent l="0" t="0" r="0" b="0"/>
              <wp:wrapNone/>
              <wp:docPr id="31" name="Shape 31"/>
              <wp:cNvGraphicFramePr/>
              <a:graphic xmlns:a="http://schemas.openxmlformats.org/drawingml/2006/main">
                <a:graphicData uri="http://schemas.microsoft.com/office/word/2010/wordprocessingShape">
                  <wps:wsp>
                    <wps:cNvSpPr txBox="true"/>
                    <wps:spPr>
                      <a:xfrm>
                        <a:off x="0" y="0"/>
                        <a:ext cx="335280" cy="9017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w:t>
                          </w:r>
                        </w:p>
                      </w:txbxContent>
                    </wps:txbx>
                    <wps:bodyPr wrap="none" lIns="0" tIns="0" rIns="0" bIns="0">
                      <a:spAutoFit/>
                    </wps:bodyPr>
                  </wps:wsp>
                </a:graphicData>
              </a:graphic>
            </wp:anchor>
          </w:drawing>
        </mc:Choice>
        <mc:Fallback>
          <w:pict>
            <v:shape id="Shape 31" o:spid="_x0000_s1026" o:spt="202" type="#_x0000_t202" style="position:absolute;left:0pt;margin-left:285.1pt;margin-top:785.4pt;height:7.1pt;width:26.4pt;mso-position-horizontal-relative:page;mso-position-vertical-relative:page;mso-wrap-style:none;z-index:-251657216;mso-width-relative:page;mso-height-relative:page;" filled="f" stroked="f" coordsize="21600,21600" o:gfxdata="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K4GsxLXAAAADQEA&#10;AA8AAAAAAAAAAQAgAAAAOAAAAGRycy9kb3ducmV2LnhtbFBLAQIUABQAAAAIAIdO4kB45+jukwEA&#10;ACUDAAAOAAAAAAAAAAEAIAAAADwBAABkcnMvZTJvRG9jLnhtbFBLBQYAAAAABgAGAFkBAABBBQAA&#10;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3604895</wp:posOffset>
              </wp:positionH>
              <wp:positionV relativeFrom="page">
                <wp:posOffset>9999345</wp:posOffset>
              </wp:positionV>
              <wp:extent cx="335280" cy="90170"/>
              <wp:effectExtent l="0" t="0" r="0" b="0"/>
              <wp:wrapNone/>
              <wp:docPr id="33" name="Shape 33"/>
              <wp:cNvGraphicFramePr/>
              <a:graphic xmlns:a="http://schemas.openxmlformats.org/drawingml/2006/main">
                <a:graphicData uri="http://schemas.microsoft.com/office/word/2010/wordprocessingShape">
                  <wps:wsp>
                    <wps:cNvSpPr txBox="true"/>
                    <wps:spPr>
                      <a:xfrm>
                        <a:off x="0" y="0"/>
                        <a:ext cx="335280" cy="9017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w:t>
                          </w:r>
                        </w:p>
                      </w:txbxContent>
                    </wps:txbx>
                    <wps:bodyPr wrap="none" lIns="0" tIns="0" rIns="0" bIns="0">
                      <a:spAutoFit/>
                    </wps:bodyPr>
                  </wps:wsp>
                </a:graphicData>
              </a:graphic>
            </wp:anchor>
          </w:drawing>
        </mc:Choice>
        <mc:Fallback>
          <w:pict>
            <v:shape id="Shape 33" o:spid="_x0000_s1026" o:spt="202" type="#_x0000_t202" style="position:absolute;left:0pt;margin-left:283.85pt;margin-top:787.35pt;height:7.1pt;width:26.4pt;mso-position-horizontal-relative:page;mso-position-vertical-relative:page;mso-wrap-style:none;z-index:-251657216;mso-width-relative:page;mso-height-relative:page;" filled="f" stroked="f" coordsize="21600,21600" o:gfxdata="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DKqygf2AAAAA0B&#10;AAAPAAAAAAAAAAEAIAAAADgAAABkcnMvZG93bnJldi54bWxQSwECFAAUAAAACACHTuJACuRXdJMB&#10;AAAlAwAADgAAAAAAAAABACAAAAA9AQAAZHJzL2Uyb0RvYy54bWxQSwUGAAAAAAYABgBZAQAAQgUA&#10;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3604895</wp:posOffset>
              </wp:positionH>
              <wp:positionV relativeFrom="page">
                <wp:posOffset>9999345</wp:posOffset>
              </wp:positionV>
              <wp:extent cx="335280" cy="90170"/>
              <wp:effectExtent l="0" t="0" r="0" b="0"/>
              <wp:wrapNone/>
              <wp:docPr id="35" name="Shape 35"/>
              <wp:cNvGraphicFramePr/>
              <a:graphic xmlns:a="http://schemas.openxmlformats.org/drawingml/2006/main">
                <a:graphicData uri="http://schemas.microsoft.com/office/word/2010/wordprocessingShape">
                  <wps:wsp>
                    <wps:cNvSpPr txBox="true"/>
                    <wps:spPr>
                      <a:xfrm>
                        <a:off x="0" y="0"/>
                        <a:ext cx="335280" cy="9017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w:t>
                          </w:r>
                        </w:p>
                      </w:txbxContent>
                    </wps:txbx>
                    <wps:bodyPr wrap="none" lIns="0" tIns="0" rIns="0" bIns="0">
                      <a:spAutoFit/>
                    </wps:bodyPr>
                  </wps:wsp>
                </a:graphicData>
              </a:graphic>
            </wp:anchor>
          </w:drawing>
        </mc:Choice>
        <mc:Fallback>
          <w:pict>
            <v:shape id="Shape 35" o:spid="_x0000_s1026" o:spt="202" type="#_x0000_t202" style="position:absolute;left:0pt;margin-left:283.85pt;margin-top:787.35pt;height:7.1pt;width:26.4pt;mso-position-horizontal-relative:page;mso-position-vertical-relative:page;mso-wrap-style:none;z-index:-251657216;mso-width-relative:page;mso-height-relative:page;" filled="f" stroked="f" coordsize="21600,21600" o:gfxdata="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yqsoH9gAAAAN&#10;AQAADwAAAAAAAAABACAAAAA4AAAAZHJzL2Rvd25yZXYueG1sUEsBAhQAFAAAAAgAh07iQN3n5wCU&#10;AQAAJQMAAA4AAAAAAAAAAQAgAAAAPQEAAGRycy9lMm9Eb2MueG1sUEsFBgAAAAAGAAYAWQEAAEMF&#10;A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3604895</wp:posOffset>
              </wp:positionH>
              <wp:positionV relativeFrom="page">
                <wp:posOffset>9999345</wp:posOffset>
              </wp:positionV>
              <wp:extent cx="335280" cy="90170"/>
              <wp:effectExtent l="0" t="0" r="0" b="0"/>
              <wp:wrapNone/>
              <wp:docPr id="38" name="Shape 38"/>
              <wp:cNvGraphicFramePr/>
              <a:graphic xmlns:a="http://schemas.openxmlformats.org/drawingml/2006/main">
                <a:graphicData uri="http://schemas.microsoft.com/office/word/2010/wordprocessingShape">
                  <wps:wsp>
                    <wps:cNvSpPr txBox="true"/>
                    <wps:spPr>
                      <a:xfrm>
                        <a:off x="0" y="0"/>
                        <a:ext cx="335280" cy="9017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w:t>
                          </w:r>
                        </w:p>
                      </w:txbxContent>
                    </wps:txbx>
                    <wps:bodyPr wrap="none" lIns="0" tIns="0" rIns="0" bIns="0">
                      <a:spAutoFit/>
                    </wps:bodyPr>
                  </wps:wsp>
                </a:graphicData>
              </a:graphic>
            </wp:anchor>
          </w:drawing>
        </mc:Choice>
        <mc:Fallback>
          <w:pict>
            <v:shape id="Shape 38" o:spid="_x0000_s1026" o:spt="202" type="#_x0000_t202" style="position:absolute;left:0pt;margin-left:283.85pt;margin-top:787.35pt;height:7.1pt;width:26.4pt;mso-position-horizontal-relative:page;mso-position-vertical-relative:page;mso-wrap-style:none;z-index:-251657216;mso-width-relative:page;mso-height-relative:page;" filled="f" stroked="f" coordsize="21600,21600" o:gfxdata="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DKqygf2AAAAA0B&#10;AAAPAAAAAAAAAAEAIAAAADgAAABkcnMvZG93bnJldi54bWxQSwECFAAUAAAACACHTuJAymHYpJMB&#10;AAAlAwAADgAAAAAAAAABACAAAAA9AQAAZHJzL2Uyb0RvYy54bWxQSwUGAAAAAAYABgBZAQAAQgUA&#10;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3604895</wp:posOffset>
              </wp:positionH>
              <wp:positionV relativeFrom="page">
                <wp:posOffset>9999345</wp:posOffset>
              </wp:positionV>
              <wp:extent cx="335280" cy="90170"/>
              <wp:effectExtent l="0" t="0" r="0" b="0"/>
              <wp:wrapNone/>
              <wp:docPr id="40" name="Shape 40"/>
              <wp:cNvGraphicFramePr/>
              <a:graphic xmlns:a="http://schemas.openxmlformats.org/drawingml/2006/main">
                <a:graphicData uri="http://schemas.microsoft.com/office/word/2010/wordprocessingShape">
                  <wps:wsp>
                    <wps:cNvSpPr txBox="true"/>
                    <wps:spPr>
                      <a:xfrm>
                        <a:off x="0" y="0"/>
                        <a:ext cx="335280" cy="9017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w:t>
                          </w:r>
                        </w:p>
                      </w:txbxContent>
                    </wps:txbx>
                    <wps:bodyPr wrap="none" lIns="0" tIns="0" rIns="0" bIns="0">
                      <a:spAutoFit/>
                    </wps:bodyPr>
                  </wps:wsp>
                </a:graphicData>
              </a:graphic>
            </wp:anchor>
          </w:drawing>
        </mc:Choice>
        <mc:Fallback>
          <w:pict>
            <v:shape id="Shape 40" o:spid="_x0000_s1026" o:spt="202" type="#_x0000_t202" style="position:absolute;left:0pt;margin-left:283.85pt;margin-top:787.35pt;height:7.1pt;width:26.4pt;mso-position-horizontal-relative:page;mso-position-vertical-relative:page;mso-wrap-style:none;z-index:-251657216;mso-width-relative:page;mso-height-relative:page;" filled="f" stroked="f" coordsize="21600,21600" o:gfxdata="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DKqygf2AAAAA0B&#10;AAAPAAAAAAAAAAEAIAAAADgAAABkcnMvZG93bnJldi54bWxQSwECFAAUAAAACACHTuJAHMWECZMB&#10;AAAlAwAADgAAAAAAAAABACAAAAA9AQAAZHJzL2Uyb0RvYy54bWxQSwUGAAAAAAYABgBZAQAAQgUA&#10;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3673475</wp:posOffset>
              </wp:positionH>
              <wp:positionV relativeFrom="page">
                <wp:posOffset>10023475</wp:posOffset>
              </wp:positionV>
              <wp:extent cx="267970" cy="90170"/>
              <wp:effectExtent l="0" t="0" r="0" b="0"/>
              <wp:wrapNone/>
              <wp:docPr id="3" name="Shape 3"/>
              <wp:cNvGraphicFramePr/>
              <a:graphic xmlns:a="http://schemas.openxmlformats.org/drawingml/2006/main">
                <a:graphicData uri="http://schemas.microsoft.com/office/word/2010/wordprocessingShape">
                  <wps:wsp>
                    <wps:cNvSpPr txBox="true"/>
                    <wps:spPr>
                      <a:xfrm>
                        <a:off x="0" y="0"/>
                        <a:ext cx="267970" cy="9017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000000"/>
                              <w:spacing w:val="0"/>
                              <w:w w:val="100"/>
                              <w:position w:val="0"/>
                              <w:sz w:val="30"/>
                              <w:szCs w:val="30"/>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30"/>
                              <w:szCs w:val="30"/>
                              <w:lang w:val="en-US" w:eastAsia="en-US" w:bidi="en-US"/>
                            </w:rPr>
                            <w:t>#</w:t>
                          </w:r>
                          <w:r>
                            <w:rPr>
                              <w:rFonts w:ascii="宋体" w:hAnsi="宋体" w:eastAsia="宋体" w:cs="宋体"/>
                              <w:color w:val="000000"/>
                              <w:spacing w:val="0"/>
                              <w:w w:val="100"/>
                              <w:position w:val="0"/>
                              <w:sz w:val="30"/>
                              <w:szCs w:val="30"/>
                              <w:lang w:val="en-US" w:eastAsia="en-US" w:bidi="en-US"/>
                            </w:rPr>
                            <w:fldChar w:fldCharType="end"/>
                          </w:r>
                          <w:r>
                            <w:rPr>
                              <w:rFonts w:ascii="宋体" w:hAnsi="宋体" w:eastAsia="宋体" w:cs="宋体"/>
                              <w:color w:val="000000"/>
                              <w:spacing w:val="0"/>
                              <w:w w:val="100"/>
                              <w:position w:val="0"/>
                              <w:sz w:val="30"/>
                              <w:szCs w:val="30"/>
                            </w:rPr>
                            <w:t>-</w:t>
                          </w:r>
                        </w:p>
                      </w:txbxContent>
                    </wps:txbx>
                    <wps:bodyPr wrap="none" lIns="0" tIns="0" rIns="0" bIns="0">
                      <a:spAutoFit/>
                    </wps:bodyPr>
                  </wps:wsp>
                </a:graphicData>
              </a:graphic>
            </wp:anchor>
          </w:drawing>
        </mc:Choice>
        <mc:Fallback>
          <w:pict>
            <v:shape id="Shape 3" o:spid="_x0000_s1026" o:spt="202" type="#_x0000_t202" style="position:absolute;left:0pt;margin-left:289.25pt;margin-top:789.25pt;height:7.1pt;width:21.1pt;mso-position-horizontal-relative:page;mso-position-vertical-relative:page;mso-wrap-style:none;z-index:-251657216;mso-width-relative:page;mso-height-relative:page;" filled="f" stroked="f" coordsize="21600,21600" o:gfxdata="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WAAAAZHJzL1BLAQIUABQAAAAIAIdO4kDzwqT51wAAAA0BAAAP&#10;AAAAAAAAAAEAIAAAADgAAABkcnMvZG93bnJldi54bWxQSwECFAAUAAAACACHTuJAPESHkJEBAAAj&#10;AwAADgAAAAAAAAABACAAAAA8AQAAZHJzL2Uyb0RvYy54bWxQSwUGAAAAAAYABgBZAQAAPw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000000"/>
                        <w:spacing w:val="0"/>
                        <w:w w:val="100"/>
                        <w:position w:val="0"/>
                        <w:sz w:val="30"/>
                        <w:szCs w:val="30"/>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30"/>
                        <w:szCs w:val="30"/>
                        <w:lang w:val="en-US" w:eastAsia="en-US" w:bidi="en-US"/>
                      </w:rPr>
                      <w:t>#</w:t>
                    </w:r>
                    <w:r>
                      <w:rPr>
                        <w:rFonts w:ascii="宋体" w:hAnsi="宋体" w:eastAsia="宋体" w:cs="宋体"/>
                        <w:color w:val="000000"/>
                        <w:spacing w:val="0"/>
                        <w:w w:val="100"/>
                        <w:position w:val="0"/>
                        <w:sz w:val="30"/>
                        <w:szCs w:val="30"/>
                        <w:lang w:val="en-US" w:eastAsia="en-US" w:bidi="en-US"/>
                      </w:rPr>
                      <w:fldChar w:fldCharType="end"/>
                    </w:r>
                    <w:r>
                      <w:rPr>
                        <w:rFonts w:ascii="宋体" w:hAnsi="宋体" w:eastAsia="宋体" w:cs="宋体"/>
                        <w:color w:val="000000"/>
                        <w:spacing w:val="0"/>
                        <w:w w:val="100"/>
                        <w:position w:val="0"/>
                        <w:sz w:val="30"/>
                        <w:szCs w:val="30"/>
                      </w:rPr>
                      <w:t>-</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3669030</wp:posOffset>
              </wp:positionH>
              <wp:positionV relativeFrom="page">
                <wp:posOffset>9937115</wp:posOffset>
              </wp:positionV>
              <wp:extent cx="335280" cy="90170"/>
              <wp:effectExtent l="0" t="0" r="0" b="0"/>
              <wp:wrapNone/>
              <wp:docPr id="42" name="Shape 42"/>
              <wp:cNvGraphicFramePr/>
              <a:graphic xmlns:a="http://schemas.openxmlformats.org/drawingml/2006/main">
                <a:graphicData uri="http://schemas.microsoft.com/office/word/2010/wordprocessingShape">
                  <wps:wsp>
                    <wps:cNvSpPr txBox="true"/>
                    <wps:spPr>
                      <a:xfrm>
                        <a:off x="0" y="0"/>
                        <a:ext cx="335280" cy="9017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-22-</w:t>
                          </w:r>
                        </w:p>
                      </w:txbxContent>
                    </wps:txbx>
                    <wps:bodyPr wrap="none" lIns="0" tIns="0" rIns="0" bIns="0">
                      <a:spAutoFit/>
                    </wps:bodyPr>
                  </wps:wsp>
                </a:graphicData>
              </a:graphic>
            </wp:anchor>
          </w:drawing>
        </mc:Choice>
        <mc:Fallback>
          <w:pict>
            <v:shape id="Shape 42" o:spid="_x0000_s1026" o:spt="202" type="#_x0000_t202" style="position:absolute;left:0pt;margin-left:288.9pt;margin-top:782.45pt;height:7.1pt;width:26.4pt;mso-position-horizontal-relative:page;mso-position-vertical-relative:page;mso-wrap-style:none;z-index:-251657216;mso-width-relative:page;mso-height-relative:page;" filled="f" stroked="f" coordsize="21600,21600" o:gfxdata="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wRY7FdgAAAAN&#10;AQAADwAAAAAAAAABACAAAAA4AAAAZHJzL2Rvd25yZXYueG1sUEsBAhQAFAAAAAgAh07iQG7GO5OU&#10;AQAAJQMAAA4AAAAAAAAAAQAgAAAAPQEAAGRycy9lMm9Eb2MueG1sUEsFBgAAAAAGAAYAWQEAAEMF&#10;A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-22-</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3669030</wp:posOffset>
              </wp:positionH>
              <wp:positionV relativeFrom="page">
                <wp:posOffset>9937115</wp:posOffset>
              </wp:positionV>
              <wp:extent cx="335280" cy="90170"/>
              <wp:effectExtent l="0" t="0" r="0" b="0"/>
              <wp:wrapNone/>
              <wp:docPr id="44" name="Shape 44"/>
              <wp:cNvGraphicFramePr/>
              <a:graphic xmlns:a="http://schemas.openxmlformats.org/drawingml/2006/main">
                <a:graphicData uri="http://schemas.microsoft.com/office/word/2010/wordprocessingShape">
                  <wps:wsp>
                    <wps:cNvSpPr txBox="true"/>
                    <wps:spPr>
                      <a:xfrm>
                        <a:off x="0" y="0"/>
                        <a:ext cx="335280" cy="9017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-22-</w:t>
                          </w:r>
                        </w:p>
                      </w:txbxContent>
                    </wps:txbx>
                    <wps:bodyPr wrap="none" lIns="0" tIns="0" rIns="0" bIns="0">
                      <a:spAutoFit/>
                    </wps:bodyPr>
                  </wps:wsp>
                </a:graphicData>
              </a:graphic>
            </wp:anchor>
          </w:drawing>
        </mc:Choice>
        <mc:Fallback>
          <w:pict>
            <v:shape id="Shape 44" o:spid="_x0000_s1026" o:spt="202" type="#_x0000_t202" style="position:absolute;left:0pt;margin-left:288.9pt;margin-top:782.45pt;height:7.1pt;width:26.4pt;mso-position-horizontal-relative:page;mso-position-vertical-relative:page;mso-wrap-style:none;z-index:-251657216;mso-width-relative:page;mso-height-relative:page;" filled="f" stroked="f" coordsize="21600,21600" o:gfxdata="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wRY7FdgAAAAN&#10;AQAADwAAAAAAAAABACAAAAA4AAAAZHJzL2Rvd25yZXYueG1sUEsBAhQAFAAAAAgAh07iQLnFi+eU&#10;AQAAJQMAAA4AAAAAAAAAAQAgAAAAPQEAAGRycy9lMm9Eb2MueG1sUEsFBgAAAAAGAAYAWQEAAEMF&#10;A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-22-</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3620135</wp:posOffset>
              </wp:positionH>
              <wp:positionV relativeFrom="page">
                <wp:posOffset>10016490</wp:posOffset>
              </wp:positionV>
              <wp:extent cx="335280" cy="90170"/>
              <wp:effectExtent l="0" t="0" r="0" b="0"/>
              <wp:wrapNone/>
              <wp:docPr id="46" name="Shape 46"/>
              <wp:cNvGraphicFramePr/>
              <a:graphic xmlns:a="http://schemas.openxmlformats.org/drawingml/2006/main">
                <a:graphicData uri="http://schemas.microsoft.com/office/word/2010/wordprocessingShape">
                  <wps:wsp>
                    <wps:cNvSpPr txBox="true"/>
                    <wps:spPr>
                      <a:xfrm>
                        <a:off x="0" y="0"/>
                        <a:ext cx="335280" cy="9017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-21 -</w:t>
                          </w:r>
                        </w:p>
                      </w:txbxContent>
                    </wps:txbx>
                    <wps:bodyPr wrap="none" lIns="0" tIns="0" rIns="0" bIns="0">
                      <a:spAutoFit/>
                    </wps:bodyPr>
                  </wps:wsp>
                </a:graphicData>
              </a:graphic>
            </wp:anchor>
          </w:drawing>
        </mc:Choice>
        <mc:Fallback>
          <w:pict>
            <v:shape id="Shape 46" o:spid="_x0000_s1026" o:spt="202" type="#_x0000_t202" style="position:absolute;left:0pt;margin-left:285.05pt;margin-top:788.7pt;height:7.1pt;width:26.4pt;mso-position-horizontal-relative:page;mso-position-vertical-relative:page;mso-wrap-style:none;z-index:-251657216;mso-width-relative:page;mso-height-relative:page;" filled="f" stroked="f" coordsize="21600,21600" o:gfxdata="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U5wuN9gAAAAN&#10;AQAADwAAAAAAAAABACAAAAA4AAAAZHJzL2Rvd25yZXYueG1sUEsBAhQAFAAAAAgAh07iQMvGNH2U&#10;AQAAJQMAAA4AAAAAAAAAAQAgAAAAPQEAAGRycy9lMm9Eb2MueG1sUEsFBgAAAAAGAAYAWQEAAEMF&#10;A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-21 -</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3716655</wp:posOffset>
              </wp:positionH>
              <wp:positionV relativeFrom="page">
                <wp:posOffset>9949180</wp:posOffset>
              </wp:positionV>
              <wp:extent cx="128270" cy="90170"/>
              <wp:effectExtent l="0" t="0" r="0" b="0"/>
              <wp:wrapNone/>
              <wp:docPr id="55" name="Shape 55"/>
              <wp:cNvGraphicFramePr/>
              <a:graphic xmlns:a="http://schemas.openxmlformats.org/drawingml/2006/main">
                <a:graphicData uri="http://schemas.microsoft.com/office/word/2010/wordprocessingShape">
                  <wps:wsp>
                    <wps:cNvSpPr txBox="true"/>
                    <wps:spPr>
                      <a:xfrm>
                        <a:off x="0" y="0"/>
                        <a:ext cx="128270" cy="9017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zh-TW" w:eastAsia="zh-TW" w:bidi="zh-TW"/>
                            </w:rPr>
                            <w:t>24</w:t>
                          </w:r>
                        </w:p>
                      </w:txbxContent>
                    </wps:txbx>
                    <wps:bodyPr wrap="none" lIns="0" tIns="0" rIns="0" bIns="0">
                      <a:spAutoFit/>
                    </wps:bodyPr>
                  </wps:wsp>
                </a:graphicData>
              </a:graphic>
            </wp:anchor>
          </w:drawing>
        </mc:Choice>
        <mc:Fallback>
          <w:pict>
            <v:shape id="Shape 55" o:spid="_x0000_s1026" o:spt="202" type="#_x0000_t202" style="position:absolute;left:0pt;margin-left:292.65pt;margin-top:783.4pt;height:7.1pt;width:10.1pt;mso-position-horizontal-relative:page;mso-position-vertical-relative:page;mso-wrap-style:none;z-index:-251657216;mso-width-relative:page;mso-height-relative:page;" filled="f" stroked="f" coordsize="21600,21600" o:gfxdata="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WAAAAZHJzL1BLAQIUABQAAAAIAIdO4kB7jngd1wAAAA0BAAAP&#10;AAAAAAAAAAEAIAAAADgAAABkcnMvZG93bnJldi54bWxQSwECFAAUAAAACACHTuJA123ANJEBAAAl&#10;AwAADgAAAAAAAAABACAAAAA8AQAAZHJzL2Uyb0RvYy54bWxQSwUGAAAAAAYABgBZAQAAPwU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zh-TW" w:eastAsia="zh-TW" w:bidi="zh-TW"/>
                      </w:rPr>
                      <w:t>24</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3716655</wp:posOffset>
              </wp:positionH>
              <wp:positionV relativeFrom="page">
                <wp:posOffset>9949180</wp:posOffset>
              </wp:positionV>
              <wp:extent cx="128270" cy="90170"/>
              <wp:effectExtent l="0" t="0" r="0" b="0"/>
              <wp:wrapNone/>
              <wp:docPr id="59" name="Shape 59"/>
              <wp:cNvGraphicFramePr/>
              <a:graphic xmlns:a="http://schemas.openxmlformats.org/drawingml/2006/main">
                <a:graphicData uri="http://schemas.microsoft.com/office/word/2010/wordprocessingShape">
                  <wps:wsp>
                    <wps:cNvSpPr txBox="true"/>
                    <wps:spPr>
                      <a:xfrm>
                        <a:off x="0" y="0"/>
                        <a:ext cx="128270" cy="9017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zh-TW" w:eastAsia="zh-TW" w:bidi="zh-TW"/>
                            </w:rPr>
                            <w:t>24</w:t>
                          </w:r>
                        </w:p>
                      </w:txbxContent>
                    </wps:txbx>
                    <wps:bodyPr wrap="none" lIns="0" tIns="0" rIns="0" bIns="0">
                      <a:spAutoFit/>
                    </wps:bodyPr>
                  </wps:wsp>
                </a:graphicData>
              </a:graphic>
            </wp:anchor>
          </w:drawing>
        </mc:Choice>
        <mc:Fallback>
          <w:pict>
            <v:shape id="Shape 59" o:spid="_x0000_s1026" o:spt="202" type="#_x0000_t202" style="position:absolute;left:0pt;margin-left:292.65pt;margin-top:783.4pt;height:7.1pt;width:10.1pt;mso-position-horizontal-relative:page;mso-position-vertical-relative:page;mso-wrap-style:none;z-index:-251657216;mso-width-relative:page;mso-height-relative:page;" filled="f" stroked="f" coordsize="21600,21600" o:gfxdata="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WAAAAZHJzL1BLAQIUABQAAAAIAIdO4kB7jngd1wAAAA0BAAAP&#10;AAAAAAAAAAEAIAAAADgAAABkcnMvZG93bnJldi54bWxQSwECFAAUAAAACACHTuJAeWqg3ZEBAAAl&#10;AwAADgAAAAAAAAABACAAAAA8AQAAZHJzL2Uyb0RvYy54bWxQSwUGAAAAAAYABgBZAQAAPwU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zh-TW" w:eastAsia="zh-TW" w:bidi="zh-TW"/>
                      </w:rPr>
                      <w:t>24</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3644900</wp:posOffset>
              </wp:positionH>
              <wp:positionV relativeFrom="page">
                <wp:posOffset>9949180</wp:posOffset>
              </wp:positionV>
              <wp:extent cx="267970" cy="90170"/>
              <wp:effectExtent l="0" t="0" r="0" b="0"/>
              <wp:wrapNone/>
              <wp:docPr id="5" name="Shape 5"/>
              <wp:cNvGraphicFramePr/>
              <a:graphic xmlns:a="http://schemas.openxmlformats.org/drawingml/2006/main">
                <a:graphicData uri="http://schemas.microsoft.com/office/word/2010/wordprocessingShape">
                  <wps:wsp>
                    <wps:cNvSpPr txBox="true"/>
                    <wps:spPr>
                      <a:xfrm>
                        <a:off x="0" y="0"/>
                        <a:ext cx="267970" cy="9017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5" o:spid="_x0000_s1026" o:spt="202" type="#_x0000_t202" style="position:absolute;left:0pt;margin-left:287pt;margin-top:783.4pt;height:7.1pt;width:21.1pt;mso-position-horizontal-relative:page;mso-position-vertical-relative:page;mso-wrap-style:none;z-index:-251657216;mso-width-relative:page;mso-height-relative:page;" filled="f" stroked="f" coordsize="21600,21600" o:gfxdata="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FgAAAGRycy9QSwECFAAUAAAACACHTuJAI8sJvNgAAAANAQAA&#10;DwAAAAAAAAABACAAAAA4AAAAZHJzL2Rvd25yZXYueG1sUEsBAhQAFAAAAAgAh07iQApvNyWRAQAA&#10;IwMAAA4AAAAAAAAAAQAgAAAAPQEAAGRycy9lMm9Eb2MueG1sUEsFBgAAAAAGAAYAWQEAAEAFAAAA&#10;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3608705</wp:posOffset>
              </wp:positionH>
              <wp:positionV relativeFrom="page">
                <wp:posOffset>9949180</wp:posOffset>
              </wp:positionV>
              <wp:extent cx="335280" cy="90170"/>
              <wp:effectExtent l="0" t="0" r="0" b="0"/>
              <wp:wrapNone/>
              <wp:docPr id="72" name="Shape 72"/>
              <wp:cNvGraphicFramePr/>
              <a:graphic xmlns:a="http://schemas.openxmlformats.org/drawingml/2006/main">
                <a:graphicData uri="http://schemas.microsoft.com/office/word/2010/wordprocessingShape">
                  <wps:wsp>
                    <wps:cNvSpPr txBox="true"/>
                    <wps:spPr>
                      <a:xfrm>
                        <a:off x="0" y="0"/>
                        <a:ext cx="335280" cy="9017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 xml:space="preserve"> </w:t>
                          </w:r>
                          <w:r>
                            <w:rPr>
                              <w:rFonts w:ascii="Times New Roman" w:hAnsi="Times New Roman" w:eastAsia="Times New Roman" w:cs="Times New Roman"/>
                              <w:color w:val="000000"/>
                              <w:spacing w:val="0"/>
                              <w:w w:val="100"/>
                              <w:position w:val="0"/>
                              <w:sz w:val="20"/>
                              <w:szCs w:val="20"/>
                              <w:lang w:val="zh-TW" w:eastAsia="zh-TW" w:bidi="zh-TW"/>
                            </w:rPr>
                            <w:t>-</w:t>
                          </w:r>
                        </w:p>
                      </w:txbxContent>
                    </wps:txbx>
                    <wps:bodyPr wrap="none" lIns="0" tIns="0" rIns="0" bIns="0">
                      <a:spAutoFit/>
                    </wps:bodyPr>
                  </wps:wsp>
                </a:graphicData>
              </a:graphic>
            </wp:anchor>
          </w:drawing>
        </mc:Choice>
        <mc:Fallback>
          <w:pict>
            <v:shape id="Shape 72" o:spid="_x0000_s1026" o:spt="202" type="#_x0000_t202" style="position:absolute;left:0pt;margin-left:284.15pt;margin-top:783.4pt;height:7.1pt;width:26.4pt;mso-position-horizontal-relative:page;mso-position-vertical-relative:page;mso-wrap-style:none;z-index:-251657216;mso-width-relative:page;mso-height-relative:page;" filled="f" stroked="f" coordsize="21600,21600" o:gfxdata="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AAx/yM2AAAAA0B&#10;AAAPAAAAAAAAAAEAIAAAADgAAABkcnMvZG93bnJldi54bWxQSwECFAAUAAAACACHTuJA1D1an5MB&#10;AAAlAwAADgAAAAAAAAABACAAAAA9AQAAZHJzL2Uyb0RvYy54bWxQSwUGAAAAAAYABgBZAQAAQgUA&#10;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 xml:space="preserve"> </w:t>
                    </w:r>
                    <w:r>
                      <w:rPr>
                        <w:rFonts w:ascii="Times New Roman" w:hAnsi="Times New Roman" w:eastAsia="Times New Roman" w:cs="Times New Roman"/>
                        <w:color w:val="000000"/>
                        <w:spacing w:val="0"/>
                        <w:w w:val="100"/>
                        <w:position w:val="0"/>
                        <w:sz w:val="20"/>
                        <w:szCs w:val="20"/>
                        <w:lang w:val="zh-TW" w:eastAsia="zh-TW" w:bidi="zh-TW"/>
                      </w:rPr>
                      <w:t>-</w:t>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3608705</wp:posOffset>
              </wp:positionH>
              <wp:positionV relativeFrom="page">
                <wp:posOffset>9949180</wp:posOffset>
              </wp:positionV>
              <wp:extent cx="335280" cy="90170"/>
              <wp:effectExtent l="0" t="0" r="0" b="0"/>
              <wp:wrapNone/>
              <wp:docPr id="76" name="Shape 76"/>
              <wp:cNvGraphicFramePr/>
              <a:graphic xmlns:a="http://schemas.openxmlformats.org/drawingml/2006/main">
                <a:graphicData uri="http://schemas.microsoft.com/office/word/2010/wordprocessingShape">
                  <wps:wsp>
                    <wps:cNvSpPr txBox="true"/>
                    <wps:spPr>
                      <a:xfrm>
                        <a:off x="0" y="0"/>
                        <a:ext cx="335280" cy="9017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 xml:space="preserve"> </w:t>
                          </w:r>
                          <w:r>
                            <w:rPr>
                              <w:rFonts w:ascii="Times New Roman" w:hAnsi="Times New Roman" w:eastAsia="Times New Roman" w:cs="Times New Roman"/>
                              <w:color w:val="000000"/>
                              <w:spacing w:val="0"/>
                              <w:w w:val="100"/>
                              <w:position w:val="0"/>
                              <w:sz w:val="20"/>
                              <w:szCs w:val="20"/>
                              <w:lang w:val="zh-TW" w:eastAsia="zh-TW" w:bidi="zh-TW"/>
                            </w:rPr>
                            <w:t>-</w:t>
                          </w:r>
                        </w:p>
                      </w:txbxContent>
                    </wps:txbx>
                    <wps:bodyPr wrap="none" lIns="0" tIns="0" rIns="0" bIns="0">
                      <a:spAutoFit/>
                    </wps:bodyPr>
                  </wps:wsp>
                </a:graphicData>
              </a:graphic>
            </wp:anchor>
          </w:drawing>
        </mc:Choice>
        <mc:Fallback>
          <w:pict>
            <v:shape id="Shape 76" o:spid="_x0000_s1026" o:spt="202" type="#_x0000_t202" style="position:absolute;left:0pt;margin-left:284.15pt;margin-top:783.4pt;height:7.1pt;width:26.4pt;mso-position-horizontal-relative:page;mso-position-vertical-relative:page;mso-wrap-style:none;z-index:-251657216;mso-width-relative:page;mso-height-relative:page;" filled="f" stroked="f" coordsize="21600,21600" o:gfxdata="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AAx/yM2AAAAA0B&#10;AAAPAAAAAAAAAAEAIAAAADgAAABkcnMvZG93bnJldi54bWxQSwECFAAUAAAACACHTuJAcT1VcZMB&#10;AAAlAwAADgAAAAAAAAABACAAAAA9AQAAZHJzL2Uyb0RvYy54bWxQSwUGAAAAAAYABgBZAQAAQgUA&#10;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 xml:space="preserve"> </w:t>
                    </w:r>
                    <w:r>
                      <w:rPr>
                        <w:rFonts w:ascii="Times New Roman" w:hAnsi="Times New Roman" w:eastAsia="Times New Roman" w:cs="Times New Roman"/>
                        <w:color w:val="000000"/>
                        <w:spacing w:val="0"/>
                        <w:w w:val="100"/>
                        <w:position w:val="0"/>
                        <w:sz w:val="20"/>
                        <w:szCs w:val="20"/>
                        <w:lang w:val="zh-TW" w:eastAsia="zh-TW" w:bidi="zh-TW"/>
                      </w:rPr>
                      <w:t>-</w:t>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3594735</wp:posOffset>
              </wp:positionH>
              <wp:positionV relativeFrom="page">
                <wp:posOffset>9950450</wp:posOffset>
              </wp:positionV>
              <wp:extent cx="335280" cy="91440"/>
              <wp:effectExtent l="0" t="0" r="0" b="0"/>
              <wp:wrapNone/>
              <wp:docPr id="78" name="Shape 78"/>
              <wp:cNvGraphicFramePr/>
              <a:graphic xmlns:a="http://schemas.openxmlformats.org/drawingml/2006/main">
                <a:graphicData uri="http://schemas.microsoft.com/office/word/2010/wordprocessingShape">
                  <wps:wsp>
                    <wps:cNvSpPr txBox="true"/>
                    <wps:spPr>
                      <a:xfrm>
                        <a:off x="0" y="0"/>
                        <a:ext cx="335280" cy="9144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 xml:space="preserve"> </w:t>
                          </w:r>
                          <w:r>
                            <w:rPr>
                              <w:rFonts w:ascii="Times New Roman" w:hAnsi="Times New Roman" w:eastAsia="Times New Roman" w:cs="Times New Roman"/>
                              <w:color w:val="000000"/>
                              <w:spacing w:val="0"/>
                              <w:w w:val="100"/>
                              <w:position w:val="0"/>
                              <w:sz w:val="20"/>
                              <w:szCs w:val="20"/>
                              <w:lang w:val="zh-TW" w:eastAsia="zh-TW" w:bidi="zh-TW"/>
                            </w:rPr>
                            <w:t>-</w:t>
                          </w:r>
                        </w:p>
                      </w:txbxContent>
                    </wps:txbx>
                    <wps:bodyPr wrap="none" lIns="0" tIns="0" rIns="0" bIns="0">
                      <a:spAutoFit/>
                    </wps:bodyPr>
                  </wps:wsp>
                </a:graphicData>
              </a:graphic>
            </wp:anchor>
          </w:drawing>
        </mc:Choice>
        <mc:Fallback>
          <w:pict>
            <v:shape id="Shape 78" o:spid="_x0000_s1026" o:spt="202" type="#_x0000_t202" style="position:absolute;left:0pt;margin-left:283.05pt;margin-top:783.5pt;height:7.2pt;width:26.4pt;mso-position-horizontal-relative:page;mso-position-vertical-relative:page;mso-wrap-style:none;z-index:-251657216;mso-width-relative:page;mso-height-relative:page;" filled="f" stroked="f" coordsize="21600,21600" o:gfxdata="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2AoatgAAAAN&#10;AQAADwAAAAAAAAABACAAAAA4AAAAZHJzL2Rvd25yZXYueG1sUEsBAhQAFAAAAAgAh07iQI1wksOU&#10;AQAAJQMAAA4AAAAAAAAAAQAgAAAAPQEAAGRycy9lMm9Eb2MueG1sUEsFBgAAAAAGAAYAWQEAAEMF&#10;A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 xml:space="preserve"> </w:t>
                    </w:r>
                    <w:r>
                      <w:rPr>
                        <w:rFonts w:ascii="Times New Roman" w:hAnsi="Times New Roman" w:eastAsia="Times New Roman" w:cs="Times New Roman"/>
                        <w:color w:val="000000"/>
                        <w:spacing w:val="0"/>
                        <w:w w:val="100"/>
                        <w:position w:val="0"/>
                        <w:sz w:val="20"/>
                        <w:szCs w:val="20"/>
                        <w:lang w:val="zh-TW" w:eastAsia="zh-TW" w:bidi="zh-TW"/>
                      </w:rPr>
                      <w:t>-</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3639820</wp:posOffset>
              </wp:positionH>
              <wp:positionV relativeFrom="page">
                <wp:posOffset>9947275</wp:posOffset>
              </wp:positionV>
              <wp:extent cx="335280" cy="90170"/>
              <wp:effectExtent l="0" t="0" r="0" b="0"/>
              <wp:wrapNone/>
              <wp:docPr id="80" name="Shape 80"/>
              <wp:cNvGraphicFramePr/>
              <a:graphic xmlns:a="http://schemas.openxmlformats.org/drawingml/2006/main">
                <a:graphicData uri="http://schemas.microsoft.com/office/word/2010/wordprocessingShape">
                  <wps:wsp>
                    <wps:cNvSpPr txBox="true"/>
                    <wps:spPr>
                      <a:xfrm>
                        <a:off x="0" y="0"/>
                        <a:ext cx="335280" cy="9017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w:t>
                          </w:r>
                        </w:p>
                      </w:txbxContent>
                    </wps:txbx>
                    <wps:bodyPr wrap="none" lIns="0" tIns="0" rIns="0" bIns="0">
                      <a:spAutoFit/>
                    </wps:bodyPr>
                  </wps:wsp>
                </a:graphicData>
              </a:graphic>
            </wp:anchor>
          </w:drawing>
        </mc:Choice>
        <mc:Fallback>
          <w:pict>
            <v:shape id="Shape 80" o:spid="_x0000_s1026" o:spt="202" type="#_x0000_t202" style="position:absolute;left:0pt;margin-left:286.6pt;margin-top:783.25pt;height:7.1pt;width:26.4pt;mso-position-horizontal-relative:page;mso-position-vertical-relative:page;mso-wrap-style:none;z-index:-251657216;mso-width-relative:page;mso-height-relative:page;" filled="f" stroked="f" coordsize="21600,21600" o:gfxdata="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GkSJ0bYAAAADQEA&#10;AA8AAAAAAAAAAQAgAAAAOAAAAGRycy9kb3ducmV2LnhtbFBLAQIUABQAAAAIAIdO4kD0KwM4kgEA&#10;ACUDAAAOAAAAAAAAAAEAIAAAAD0BAABkcnMvZTJvRG9jLnhtbFBLBQYAAAAABgAGAFkBAABBBQAA&#10;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w:t>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3613150</wp:posOffset>
              </wp:positionH>
              <wp:positionV relativeFrom="page">
                <wp:posOffset>9949180</wp:posOffset>
              </wp:positionV>
              <wp:extent cx="335280" cy="90170"/>
              <wp:effectExtent l="0" t="0" r="0" b="0"/>
              <wp:wrapNone/>
              <wp:docPr id="82" name="Shape 82"/>
              <wp:cNvGraphicFramePr/>
              <a:graphic xmlns:a="http://schemas.openxmlformats.org/drawingml/2006/main">
                <a:graphicData uri="http://schemas.microsoft.com/office/word/2010/wordprocessingShape">
                  <wps:wsp>
                    <wps:cNvSpPr txBox="true"/>
                    <wps:spPr>
                      <a:xfrm>
                        <a:off x="0" y="0"/>
                        <a:ext cx="335280" cy="9017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 xml:space="preserve"> </w:t>
                          </w:r>
                          <w:r>
                            <w:rPr>
                              <w:rFonts w:ascii="Times New Roman" w:hAnsi="Times New Roman" w:eastAsia="Times New Roman" w:cs="Times New Roman"/>
                              <w:color w:val="000000"/>
                              <w:spacing w:val="0"/>
                              <w:w w:val="100"/>
                              <w:position w:val="0"/>
                              <w:sz w:val="20"/>
                              <w:szCs w:val="20"/>
                              <w:lang w:val="zh-TW" w:eastAsia="zh-TW" w:bidi="zh-TW"/>
                            </w:rPr>
                            <w:t>-</w:t>
                          </w:r>
                        </w:p>
                      </w:txbxContent>
                    </wps:txbx>
                    <wps:bodyPr wrap="none" lIns="0" tIns="0" rIns="0" bIns="0">
                      <a:spAutoFit/>
                    </wps:bodyPr>
                  </wps:wsp>
                </a:graphicData>
              </a:graphic>
            </wp:anchor>
          </w:drawing>
        </mc:Choice>
        <mc:Fallback>
          <w:pict>
            <v:shape id="Shape 82" o:spid="_x0000_s1026" o:spt="202" type="#_x0000_t202" style="position:absolute;left:0pt;margin-left:284.5pt;margin-top:783.4pt;height:7.1pt;width:26.4pt;mso-position-horizontal-relative:page;mso-position-vertical-relative:page;mso-wrap-style:none;z-index:-251657216;mso-width-relative:page;mso-height-relative:page;" filled="f" stroked="f" coordsize="21600,21600" o:gfxdata="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8cGtiNgAAAAN&#10;AQAADwAAAAAAAAABACAAAAA4AAAAZHJzL2Rvd25yZXYueG1sUEsBAhQAFAAAAAgAh07iQIYovKKU&#10;AQAAJQMAAA4AAAAAAAAAAQAgAAAAPQEAAGRycy9lMm9Eb2MueG1sUEsFBgAAAAAGAAYAWQEAAEMF&#10;A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 xml:space="preserve"> </w:t>
                    </w:r>
                    <w:r>
                      <w:rPr>
                        <w:rFonts w:ascii="Times New Roman" w:hAnsi="Times New Roman" w:eastAsia="Times New Roman" w:cs="Times New Roman"/>
                        <w:color w:val="000000"/>
                        <w:spacing w:val="0"/>
                        <w:w w:val="100"/>
                        <w:position w:val="0"/>
                        <w:sz w:val="20"/>
                        <w:szCs w:val="20"/>
                        <w:lang w:val="zh-TW" w:eastAsia="zh-TW" w:bidi="zh-TW"/>
                      </w:rPr>
                      <w:t>-</w:t>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3594735</wp:posOffset>
              </wp:positionH>
              <wp:positionV relativeFrom="page">
                <wp:posOffset>9950450</wp:posOffset>
              </wp:positionV>
              <wp:extent cx="335280" cy="91440"/>
              <wp:effectExtent l="0" t="0" r="0" b="0"/>
              <wp:wrapNone/>
              <wp:docPr id="84" name="Shape 84"/>
              <wp:cNvGraphicFramePr/>
              <a:graphic xmlns:a="http://schemas.openxmlformats.org/drawingml/2006/main">
                <a:graphicData uri="http://schemas.microsoft.com/office/word/2010/wordprocessingShape">
                  <wps:wsp>
                    <wps:cNvSpPr txBox="true"/>
                    <wps:spPr>
                      <a:xfrm>
                        <a:off x="0" y="0"/>
                        <a:ext cx="335280" cy="9144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 xml:space="preserve"> </w:t>
                          </w:r>
                          <w:r>
                            <w:rPr>
                              <w:rFonts w:ascii="Times New Roman" w:hAnsi="Times New Roman" w:eastAsia="Times New Roman" w:cs="Times New Roman"/>
                              <w:color w:val="000000"/>
                              <w:spacing w:val="0"/>
                              <w:w w:val="100"/>
                              <w:position w:val="0"/>
                              <w:sz w:val="20"/>
                              <w:szCs w:val="20"/>
                              <w:lang w:val="zh-TW" w:eastAsia="zh-TW" w:bidi="zh-TW"/>
                            </w:rPr>
                            <w:t>-</w:t>
                          </w:r>
                        </w:p>
                      </w:txbxContent>
                    </wps:txbx>
                    <wps:bodyPr wrap="none" lIns="0" tIns="0" rIns="0" bIns="0">
                      <a:spAutoFit/>
                    </wps:bodyPr>
                  </wps:wsp>
                </a:graphicData>
              </a:graphic>
            </wp:anchor>
          </w:drawing>
        </mc:Choice>
        <mc:Fallback>
          <w:pict>
            <v:shape id="Shape 84" o:spid="_x0000_s1026" o:spt="202" type="#_x0000_t202" style="position:absolute;left:0pt;margin-left:283.05pt;margin-top:783.5pt;height:7.2pt;width:26.4pt;mso-position-horizontal-relative:page;mso-position-vertical-relative:page;mso-wrap-style:none;z-index:-251657216;mso-width-relative:page;mso-height-relative:page;" filled="f" stroked="f" coordsize="21600,21600" o:gfxdata="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2AoatgAAAAN&#10;AQAADwAAAAAAAAABACAAAAA4AAAAZHJzL2Rvd25yZXYueG1sUEsBAhQAFAAAAAgAh07iQHFiFBeU&#10;AQAAJQMAAA4AAAAAAAAAAQAgAAAAPQEAAGRycy9lMm9Eb2MueG1sUEsFBgAAAAAGAAYAWQEAAEMF&#10;A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 xml:space="preserve"> </w:t>
                    </w:r>
                    <w:r>
                      <w:rPr>
                        <w:rFonts w:ascii="Times New Roman" w:hAnsi="Times New Roman" w:eastAsia="Times New Roman" w:cs="Times New Roman"/>
                        <w:color w:val="000000"/>
                        <w:spacing w:val="0"/>
                        <w:w w:val="100"/>
                        <w:position w:val="0"/>
                        <w:sz w:val="20"/>
                        <w:szCs w:val="20"/>
                        <w:lang w:val="zh-TW" w:eastAsia="zh-TW" w:bidi="zh-TW"/>
                      </w:rPr>
                      <w:t>-</w:t>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3615690</wp:posOffset>
              </wp:positionH>
              <wp:positionV relativeFrom="page">
                <wp:posOffset>9954260</wp:posOffset>
              </wp:positionV>
              <wp:extent cx="335280" cy="90170"/>
              <wp:effectExtent l="0" t="0" r="0" b="0"/>
              <wp:wrapNone/>
              <wp:docPr id="86" name="Shape 86"/>
              <wp:cNvGraphicFramePr/>
              <a:graphic xmlns:a="http://schemas.openxmlformats.org/drawingml/2006/main">
                <a:graphicData uri="http://schemas.microsoft.com/office/word/2010/wordprocessingShape">
                  <wps:wsp>
                    <wps:cNvSpPr txBox="true"/>
                    <wps:spPr>
                      <a:xfrm>
                        <a:off x="0" y="0"/>
                        <a:ext cx="335280" cy="9017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 xml:space="preserve"> </w:t>
                          </w:r>
                          <w:r>
                            <w:rPr>
                              <w:rFonts w:ascii="Times New Roman" w:hAnsi="Times New Roman" w:eastAsia="Times New Roman" w:cs="Times New Roman"/>
                              <w:color w:val="000000"/>
                              <w:spacing w:val="0"/>
                              <w:w w:val="100"/>
                              <w:position w:val="0"/>
                              <w:sz w:val="20"/>
                              <w:szCs w:val="20"/>
                              <w:lang w:val="zh-TW" w:eastAsia="zh-TW" w:bidi="zh-TW"/>
                            </w:rPr>
                            <w:t>-</w:t>
                          </w:r>
                        </w:p>
                      </w:txbxContent>
                    </wps:txbx>
                    <wps:bodyPr wrap="none" lIns="0" tIns="0" rIns="0" bIns="0">
                      <a:spAutoFit/>
                    </wps:bodyPr>
                  </wps:wsp>
                </a:graphicData>
              </a:graphic>
            </wp:anchor>
          </w:drawing>
        </mc:Choice>
        <mc:Fallback>
          <w:pict>
            <v:shape id="Shape 86" o:spid="_x0000_s1026" o:spt="202" type="#_x0000_t202" style="position:absolute;left:0pt;margin-left:284.7pt;margin-top:783.8pt;height:7.1pt;width:26.4pt;mso-position-horizontal-relative:page;mso-position-vertical-relative:page;mso-wrap-style:none;z-index:-251657216;mso-width-relative:page;mso-height-relative:page;" filled="f" stroked="f" coordsize="21600,21600" o:gfxdata="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B8yBOdgAAAAN&#10;AQAADwAAAAAAAAABACAAAAA4AAAAZHJzL2Rvd25yZXYueG1sUEsBAhQAFAAAAAgAh07iQCMos0yU&#10;AQAAJQMAAA4AAAAAAAAAAQAgAAAAPQEAAGRycy9lMm9Eb2MueG1sUEsFBgAAAAAGAAYAWQEAAEMF&#10;A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 xml:space="preserve"> </w:t>
                    </w:r>
                    <w:r>
                      <w:rPr>
                        <w:rFonts w:ascii="Times New Roman" w:hAnsi="Times New Roman" w:eastAsia="Times New Roman" w:cs="Times New Roman"/>
                        <w:color w:val="000000"/>
                        <w:spacing w:val="0"/>
                        <w:w w:val="100"/>
                        <w:position w:val="0"/>
                        <w:sz w:val="20"/>
                        <w:szCs w:val="20"/>
                        <w:lang w:val="zh-TW" w:eastAsia="zh-TW" w:bidi="zh-TW"/>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3615690</wp:posOffset>
              </wp:positionH>
              <wp:positionV relativeFrom="page">
                <wp:posOffset>9954260</wp:posOffset>
              </wp:positionV>
              <wp:extent cx="335280" cy="90170"/>
              <wp:effectExtent l="0" t="0" r="0" b="0"/>
              <wp:wrapNone/>
              <wp:docPr id="88" name="Shape 88"/>
              <wp:cNvGraphicFramePr/>
              <a:graphic xmlns:a="http://schemas.openxmlformats.org/drawingml/2006/main">
                <a:graphicData uri="http://schemas.microsoft.com/office/word/2010/wordprocessingShape">
                  <wps:wsp>
                    <wps:cNvSpPr txBox="true"/>
                    <wps:spPr>
                      <a:xfrm>
                        <a:off x="0" y="0"/>
                        <a:ext cx="335280" cy="9017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 xml:space="preserve"> </w:t>
                          </w:r>
                          <w:r>
                            <w:rPr>
                              <w:rFonts w:ascii="Times New Roman" w:hAnsi="Times New Roman" w:eastAsia="Times New Roman" w:cs="Times New Roman"/>
                              <w:color w:val="000000"/>
                              <w:spacing w:val="0"/>
                              <w:w w:val="100"/>
                              <w:position w:val="0"/>
                              <w:sz w:val="20"/>
                              <w:szCs w:val="20"/>
                              <w:lang w:val="zh-TW" w:eastAsia="zh-TW" w:bidi="zh-TW"/>
                            </w:rPr>
                            <w:t>-</w:t>
                          </w:r>
                        </w:p>
                      </w:txbxContent>
                    </wps:txbx>
                    <wps:bodyPr wrap="none" lIns="0" tIns="0" rIns="0" bIns="0">
                      <a:spAutoFit/>
                    </wps:bodyPr>
                  </wps:wsp>
                </a:graphicData>
              </a:graphic>
            </wp:anchor>
          </w:drawing>
        </mc:Choice>
        <mc:Fallback>
          <w:pict>
            <v:shape id="Shape 88" o:spid="_x0000_s1026" o:spt="202" type="#_x0000_t202" style="position:absolute;left:0pt;margin-left:284.7pt;margin-top:783.8pt;height:7.1pt;width:26.4pt;mso-position-horizontal-relative:page;mso-position-vertical-relative:page;mso-wrap-style:none;z-index:-251657216;mso-width-relative:page;mso-height-relative:page;" filled="f" stroked="f" coordsize="21600,21600" o:gfxdata="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B8yBOdgAAAAN&#10;AQAADwAAAAAAAAABACAAAAA4AAAAZHJzL2Rvd25yZXYueG1sUEsBAhQAFAAAAAgAh07iQP8sbD+U&#10;AQAAJQMAAA4AAAAAAAAAAQAgAAAAPQEAAGRycy9lMm9Eb2MueG1sUEsFBgAAAAAGAAYAWQEAAEMF&#10;A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 xml:space="preserve"> </w:t>
                    </w:r>
                    <w:r>
                      <w:rPr>
                        <w:rFonts w:ascii="Times New Roman" w:hAnsi="Times New Roman" w:eastAsia="Times New Roman" w:cs="Times New Roman"/>
                        <w:color w:val="000000"/>
                        <w:spacing w:val="0"/>
                        <w:w w:val="100"/>
                        <w:position w:val="0"/>
                        <w:sz w:val="20"/>
                        <w:szCs w:val="20"/>
                        <w:lang w:val="zh-TW" w:eastAsia="zh-TW" w:bidi="zh-TW"/>
                      </w:rPr>
                      <w:t>-</w:t>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3601720</wp:posOffset>
              </wp:positionH>
              <wp:positionV relativeFrom="page">
                <wp:posOffset>9952355</wp:posOffset>
              </wp:positionV>
              <wp:extent cx="335280" cy="91440"/>
              <wp:effectExtent l="0" t="0" r="0" b="0"/>
              <wp:wrapNone/>
              <wp:docPr id="90" name="Shape 90"/>
              <wp:cNvGraphicFramePr/>
              <a:graphic xmlns:a="http://schemas.openxmlformats.org/drawingml/2006/main">
                <a:graphicData uri="http://schemas.microsoft.com/office/word/2010/wordprocessingShape">
                  <wps:wsp>
                    <wps:cNvSpPr txBox="true"/>
                    <wps:spPr>
                      <a:xfrm>
                        <a:off x="0" y="0"/>
                        <a:ext cx="335280" cy="9144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 xml:space="preserve"> </w:t>
                          </w:r>
                          <w:r>
                            <w:rPr>
                              <w:rFonts w:ascii="Times New Roman" w:hAnsi="Times New Roman" w:eastAsia="Times New Roman" w:cs="Times New Roman"/>
                              <w:color w:val="000000"/>
                              <w:spacing w:val="0"/>
                              <w:w w:val="100"/>
                              <w:position w:val="0"/>
                              <w:sz w:val="20"/>
                              <w:szCs w:val="20"/>
                              <w:lang w:val="zh-TW" w:eastAsia="zh-TW" w:bidi="zh-TW"/>
                            </w:rPr>
                            <w:t>-</w:t>
                          </w:r>
                        </w:p>
                      </w:txbxContent>
                    </wps:txbx>
                    <wps:bodyPr wrap="none" lIns="0" tIns="0" rIns="0" bIns="0">
                      <a:spAutoFit/>
                    </wps:bodyPr>
                  </wps:wsp>
                </a:graphicData>
              </a:graphic>
            </wp:anchor>
          </w:drawing>
        </mc:Choice>
        <mc:Fallback>
          <w:pict>
            <v:shape id="Shape 90" o:spid="_x0000_s1026" o:spt="202" type="#_x0000_t202" style="position:absolute;left:0pt;margin-left:283.6pt;margin-top:783.65pt;height:7.2pt;width:26.4pt;mso-position-horizontal-relative:page;mso-position-vertical-relative:page;mso-wrap-style:none;z-index:-251657216;mso-width-relative:page;mso-height-relative:page;" filled="f" stroked="f" coordsize="21600,21600" o:gfxdata="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FgAAAGRycy9QSwECFAAUAAAACACHTuJABseZq9YAAAANAQAA&#10;DwAAAAAAAAABACAAAAA4AAAAZHJzL2Rvd25yZXYueG1sUEsBAhQAFAAAAAgAh07iQH0260uTAQAA&#10;JQMAAA4AAAAAAAAAAQAgAAAAOwEAAGRycy9lMm9Eb2MueG1sUEsFBgAAAAAGAAYAWQEAAEAFAAAA&#10;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 xml:space="preserve"> </w:t>
                    </w:r>
                    <w:r>
                      <w:rPr>
                        <w:rFonts w:ascii="Times New Roman" w:hAnsi="Times New Roman" w:eastAsia="Times New Roman" w:cs="Times New Roman"/>
                        <w:color w:val="000000"/>
                        <w:spacing w:val="0"/>
                        <w:w w:val="100"/>
                        <w:position w:val="0"/>
                        <w:sz w:val="20"/>
                        <w:szCs w:val="20"/>
                        <w:lang w:val="zh-TW" w:eastAsia="zh-TW" w:bidi="zh-TW"/>
                      </w:rPr>
                      <w:t>-</w:t>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3601720</wp:posOffset>
              </wp:positionH>
              <wp:positionV relativeFrom="page">
                <wp:posOffset>9952355</wp:posOffset>
              </wp:positionV>
              <wp:extent cx="335280" cy="91440"/>
              <wp:effectExtent l="0" t="0" r="0" b="0"/>
              <wp:wrapNone/>
              <wp:docPr id="92" name="Shape 92"/>
              <wp:cNvGraphicFramePr/>
              <a:graphic xmlns:a="http://schemas.openxmlformats.org/drawingml/2006/main">
                <a:graphicData uri="http://schemas.microsoft.com/office/word/2010/wordprocessingShape">
                  <wps:wsp>
                    <wps:cNvSpPr txBox="true"/>
                    <wps:spPr>
                      <a:xfrm>
                        <a:off x="0" y="0"/>
                        <a:ext cx="335280" cy="9144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 xml:space="preserve"> </w:t>
                          </w:r>
                          <w:r>
                            <w:rPr>
                              <w:rFonts w:ascii="Times New Roman" w:hAnsi="Times New Roman" w:eastAsia="Times New Roman" w:cs="Times New Roman"/>
                              <w:color w:val="000000"/>
                              <w:spacing w:val="0"/>
                              <w:w w:val="100"/>
                              <w:position w:val="0"/>
                              <w:sz w:val="20"/>
                              <w:szCs w:val="20"/>
                              <w:lang w:val="zh-TW" w:eastAsia="zh-TW" w:bidi="zh-TW"/>
                            </w:rPr>
                            <w:t>-</w:t>
                          </w:r>
                        </w:p>
                      </w:txbxContent>
                    </wps:txbx>
                    <wps:bodyPr wrap="none" lIns="0" tIns="0" rIns="0" bIns="0">
                      <a:spAutoFit/>
                    </wps:bodyPr>
                  </wps:wsp>
                </a:graphicData>
              </a:graphic>
            </wp:anchor>
          </w:drawing>
        </mc:Choice>
        <mc:Fallback>
          <w:pict>
            <v:shape id="Shape 92" o:spid="_x0000_s1026" o:spt="202" type="#_x0000_t202" style="position:absolute;left:0pt;margin-left:283.6pt;margin-top:783.65pt;height:7.2pt;width:26.4pt;mso-position-horizontal-relative:page;mso-position-vertical-relative:page;mso-wrap-style:none;z-index:-251657216;mso-width-relative:page;mso-height-relative:page;" filled="f" stroked="f" coordsize="21600,21600" o:gfxdata="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AbHmavWAAAADQEA&#10;AA8AAAAAAAAAAQAgAAAAOAAAAGRycy9kb3ducmV2LnhtbFBLAQIUABQAAAAIAIdO4kAPNVTRlAEA&#10;ACUDAAAOAAAAAAAAAAEAIAAAADsBAABkcnMvZTJvRG9jLnhtbFBLBQYAAAAABgAGAFkBAABBBQAA&#10;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 xml:space="preserve"> </w:t>
                    </w:r>
                    <w:r>
                      <w:rPr>
                        <w:rFonts w:ascii="Times New Roman" w:hAnsi="Times New Roman" w:eastAsia="Times New Roman" w:cs="Times New Roman"/>
                        <w:color w:val="000000"/>
                        <w:spacing w:val="0"/>
                        <w:w w:val="100"/>
                        <w:position w:val="0"/>
                        <w:sz w:val="20"/>
                        <w:szCs w:val="20"/>
                        <w:lang w:val="zh-TW" w:eastAsia="zh-TW" w:bidi="zh-TW"/>
                      </w:rPr>
                      <w:t>-</w:t>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3760470</wp:posOffset>
              </wp:positionH>
              <wp:positionV relativeFrom="page">
                <wp:posOffset>9946005</wp:posOffset>
              </wp:positionV>
              <wp:extent cx="129540" cy="91440"/>
              <wp:effectExtent l="0" t="0" r="0" b="0"/>
              <wp:wrapNone/>
              <wp:docPr id="94" name="Shape 94"/>
              <wp:cNvGraphicFramePr/>
              <a:graphic xmlns:a="http://schemas.openxmlformats.org/drawingml/2006/main">
                <a:graphicData uri="http://schemas.microsoft.com/office/word/2010/wordprocessingShape">
                  <wps:wsp>
                    <wps:cNvSpPr txBox="true"/>
                    <wps:spPr>
                      <a:xfrm>
                        <a:off x="0" y="0"/>
                        <a:ext cx="129540" cy="9144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0"/>
                              <w:szCs w:val="20"/>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zh-TW" w:eastAsia="zh-TW" w:bidi="zh-TW"/>
                            </w:rPr>
                            <w:t>#</w:t>
                          </w:r>
                          <w:r>
                            <w:rPr>
                              <w:rFonts w:ascii="Times New Roman" w:hAnsi="Times New Roman" w:eastAsia="Times New Roman" w:cs="Times New Roman"/>
                              <w:color w:val="000000"/>
                              <w:spacing w:val="0"/>
                              <w:w w:val="100"/>
                              <w:position w:val="0"/>
                              <w:sz w:val="20"/>
                              <w:szCs w:val="20"/>
                              <w:lang w:val="zh-TW" w:eastAsia="zh-TW" w:bidi="zh-TW"/>
                            </w:rPr>
                            <w:fldChar w:fldCharType="end"/>
                          </w:r>
                        </w:p>
                      </w:txbxContent>
                    </wps:txbx>
                    <wps:bodyPr wrap="none" lIns="0" tIns="0" rIns="0" bIns="0">
                      <a:spAutoFit/>
                    </wps:bodyPr>
                  </wps:wsp>
                </a:graphicData>
              </a:graphic>
            </wp:anchor>
          </w:drawing>
        </mc:Choice>
        <mc:Fallback>
          <w:pict>
            <v:shape id="Shape 94" o:spid="_x0000_s1026" o:spt="202" type="#_x0000_t202" style="position:absolute;left:0pt;margin-left:296.1pt;margin-top:783.15pt;height:7.2pt;width:10.2pt;mso-position-horizontal-relative:page;mso-position-vertical-relative:page;mso-wrap-style:none;z-index:-251657216;mso-width-relative:page;mso-height-relative:page;" filled="f" stroked="f" coordsize="21600,21600" o:gfxdata="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FgAAAGRycy9QSwECFAAUAAAACACHTuJA1NqPddgAAAANAQAA&#10;DwAAAAAAAAABACAAAAA4AAAAZHJzL2Rvd25yZXYueG1sUEsBAhQAFAAAAAgAh07iQJf4osiRAQAA&#10;JQMAAA4AAAAAAAAAAQAgAAAAPQEAAGRycy9lMm9Eb2MueG1sUEsFBgAAAAAGAAYAWQEAAEAFAAAA&#10;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0"/>
                        <w:szCs w:val="20"/>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zh-TW" w:eastAsia="zh-TW" w:bidi="zh-TW"/>
                      </w:rPr>
                      <w:t>#</w:t>
                    </w:r>
                    <w:r>
                      <w:rPr>
                        <w:rFonts w:ascii="Times New Roman" w:hAnsi="Times New Roman" w:eastAsia="Times New Roman" w:cs="Times New Roman"/>
                        <w:color w:val="000000"/>
                        <w:spacing w:val="0"/>
                        <w:w w:val="100"/>
                        <w:position w:val="0"/>
                        <w:sz w:val="20"/>
                        <w:szCs w:val="20"/>
                        <w:lang w:val="zh-TW" w:eastAsia="zh-TW" w:bidi="zh-TW"/>
                      </w:rP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3760470</wp:posOffset>
              </wp:positionH>
              <wp:positionV relativeFrom="page">
                <wp:posOffset>9946005</wp:posOffset>
              </wp:positionV>
              <wp:extent cx="129540" cy="91440"/>
              <wp:effectExtent l="0" t="0" r="0" b="0"/>
              <wp:wrapNone/>
              <wp:docPr id="96" name="Shape 96"/>
              <wp:cNvGraphicFramePr/>
              <a:graphic xmlns:a="http://schemas.openxmlformats.org/drawingml/2006/main">
                <a:graphicData uri="http://schemas.microsoft.com/office/word/2010/wordprocessingShape">
                  <wps:wsp>
                    <wps:cNvSpPr txBox="true"/>
                    <wps:spPr>
                      <a:xfrm>
                        <a:off x="0" y="0"/>
                        <a:ext cx="129540" cy="9144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0"/>
                              <w:szCs w:val="20"/>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zh-TW" w:eastAsia="zh-TW" w:bidi="zh-TW"/>
                            </w:rPr>
                            <w:t>#</w:t>
                          </w:r>
                          <w:r>
                            <w:rPr>
                              <w:rFonts w:ascii="Times New Roman" w:hAnsi="Times New Roman" w:eastAsia="Times New Roman" w:cs="Times New Roman"/>
                              <w:color w:val="000000"/>
                              <w:spacing w:val="0"/>
                              <w:w w:val="100"/>
                              <w:position w:val="0"/>
                              <w:sz w:val="20"/>
                              <w:szCs w:val="20"/>
                              <w:lang w:val="zh-TW" w:eastAsia="zh-TW" w:bidi="zh-TW"/>
                            </w:rPr>
                            <w:fldChar w:fldCharType="end"/>
                          </w:r>
                        </w:p>
                      </w:txbxContent>
                    </wps:txbx>
                    <wps:bodyPr wrap="none" lIns="0" tIns="0" rIns="0" bIns="0">
                      <a:spAutoFit/>
                    </wps:bodyPr>
                  </wps:wsp>
                </a:graphicData>
              </a:graphic>
            </wp:anchor>
          </w:drawing>
        </mc:Choice>
        <mc:Fallback>
          <w:pict>
            <v:shape id="Shape 96" o:spid="_x0000_s1026" o:spt="202" type="#_x0000_t202" style="position:absolute;left:0pt;margin-left:296.1pt;margin-top:783.15pt;height:7.2pt;width:10.2pt;mso-position-horizontal-relative:page;mso-position-vertical-relative:page;mso-wrap-style:none;z-index:-251657216;mso-width-relative:page;mso-height-relative:page;" filled="f" stroked="f" coordsize="21600,21600" o:gfxdata="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NTaj3XYAAAADQEA&#10;AA8AAAAAAAAAAQAgAAAAOAAAAGRycy9kb3ducmV2LnhtbFBLAQIUABQAAAAIAIdO4kDl+x1SkgEA&#10;ACUDAAAOAAAAAAAAAAEAIAAAAD0BAABkcnMvZTJvRG9jLnhtbFBLBQYAAAAABgAGAFkBAABBBQAA&#10;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0"/>
                        <w:szCs w:val="20"/>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zh-TW" w:eastAsia="zh-TW" w:bidi="zh-TW"/>
                      </w:rPr>
                      <w:t>#</w:t>
                    </w:r>
                    <w:r>
                      <w:rPr>
                        <w:rFonts w:ascii="Times New Roman" w:hAnsi="Times New Roman" w:eastAsia="Times New Roman" w:cs="Times New Roman"/>
                        <w:color w:val="000000"/>
                        <w:spacing w:val="0"/>
                        <w:w w:val="100"/>
                        <w:position w:val="0"/>
                        <w:sz w:val="20"/>
                        <w:szCs w:val="20"/>
                        <w:lang w:val="zh-TW" w:eastAsia="zh-TW" w:bidi="zh-TW"/>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3610610</wp:posOffset>
              </wp:positionH>
              <wp:positionV relativeFrom="page">
                <wp:posOffset>9927590</wp:posOffset>
              </wp:positionV>
              <wp:extent cx="335280" cy="90170"/>
              <wp:effectExtent l="0" t="0" r="0" b="0"/>
              <wp:wrapNone/>
              <wp:docPr id="20" name="Shape 20"/>
              <wp:cNvGraphicFramePr/>
              <a:graphic xmlns:a="http://schemas.openxmlformats.org/drawingml/2006/main">
                <a:graphicData uri="http://schemas.microsoft.com/office/word/2010/wordprocessingShape">
                  <wps:wsp>
                    <wps:cNvSpPr txBox="true"/>
                    <wps:spPr>
                      <a:xfrm>
                        <a:off x="0" y="0"/>
                        <a:ext cx="335280" cy="9017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w:t>
                          </w:r>
                        </w:p>
                      </w:txbxContent>
                    </wps:txbx>
                    <wps:bodyPr wrap="none" lIns="0" tIns="0" rIns="0" bIns="0">
                      <a:spAutoFit/>
                    </wps:bodyPr>
                  </wps:wsp>
                </a:graphicData>
              </a:graphic>
            </wp:anchor>
          </w:drawing>
        </mc:Choice>
        <mc:Fallback>
          <w:pict>
            <v:shape id="Shape 20" o:spid="_x0000_s1026" o:spt="202" type="#_x0000_t202" style="position:absolute;left:0pt;margin-left:284.3pt;margin-top:781.7pt;height:7.1pt;width:26.4pt;mso-position-horizontal-relative:page;mso-position-vertical-relative:page;mso-wrap-style:none;z-index:-251657216;mso-width-relative:page;mso-height-relative:page;" filled="f" stroked="f" coordsize="21600,21600" o:gfxdata="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CAeBGXYAAAADQEA&#10;AA8AAAAAAAAAAQAgAAAAOAAAAGRycy9kb3ducmV2LnhtbFBLAQIUABQAAAAIAIdO4kBoMkcRkgEA&#10;ACUDAAAOAAAAAAAAAAEAIAAAAD0BAABkcnMvZTJvRG9jLnhtbFBLBQYAAAAABgAGAFkBAABBBQAA&#10;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3610610</wp:posOffset>
              </wp:positionH>
              <wp:positionV relativeFrom="page">
                <wp:posOffset>9927590</wp:posOffset>
              </wp:positionV>
              <wp:extent cx="335280" cy="90170"/>
              <wp:effectExtent l="0" t="0" r="0" b="0"/>
              <wp:wrapNone/>
              <wp:docPr id="22" name="Shape 22"/>
              <wp:cNvGraphicFramePr/>
              <a:graphic xmlns:a="http://schemas.openxmlformats.org/drawingml/2006/main">
                <a:graphicData uri="http://schemas.microsoft.com/office/word/2010/wordprocessingShape">
                  <wps:wsp>
                    <wps:cNvSpPr txBox="true"/>
                    <wps:spPr>
                      <a:xfrm>
                        <a:off x="0" y="0"/>
                        <a:ext cx="335280" cy="9017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w:t>
                          </w:r>
                        </w:p>
                      </w:txbxContent>
                    </wps:txbx>
                    <wps:bodyPr wrap="none" lIns="0" tIns="0" rIns="0" bIns="0">
                      <a:spAutoFit/>
                    </wps:bodyPr>
                  </wps:wsp>
                </a:graphicData>
              </a:graphic>
            </wp:anchor>
          </w:drawing>
        </mc:Choice>
        <mc:Fallback>
          <w:pict>
            <v:shape id="Shape 22" o:spid="_x0000_s1026" o:spt="202" type="#_x0000_t202" style="position:absolute;left:0pt;margin-left:284.3pt;margin-top:781.7pt;height:7.1pt;width:26.4pt;mso-position-horizontal-relative:page;mso-position-vertical-relative:page;mso-wrap-style:none;z-index:-251657216;mso-width-relative:page;mso-height-relative:page;" filled="f" stroked="f" coordsize="21600,21600" o:gfxdata="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IB4EZdgAAAAN&#10;AQAADwAAAAAAAAABACAAAAA4AAAAZHJzL2Rvd25yZXYueG1sUEsBAhQAFAAAAAgAh07iQBox+IuU&#10;AQAAJQMAAA4AAAAAAAAAAQAgAAAAPQEAAGRycy9lMm9Eb2MueG1sUEsFBgAAAAAGAAYAWQEAAEMF&#10;A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lang w:val="en-US" w:eastAsia="en-US" w:bidi="en-US"/>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3613150</wp:posOffset>
              </wp:positionH>
              <wp:positionV relativeFrom="page">
                <wp:posOffset>10001885</wp:posOffset>
              </wp:positionV>
              <wp:extent cx="335280" cy="90170"/>
              <wp:effectExtent l="0" t="0" r="0" b="0"/>
              <wp:wrapNone/>
              <wp:docPr id="24" name="Shape 24"/>
              <wp:cNvGraphicFramePr/>
              <a:graphic xmlns:a="http://schemas.openxmlformats.org/drawingml/2006/main">
                <a:graphicData uri="http://schemas.microsoft.com/office/word/2010/wordprocessingShape">
                  <wps:wsp>
                    <wps:cNvSpPr txBox="true"/>
                    <wps:spPr>
                      <a:xfrm>
                        <a:off x="0" y="0"/>
                        <a:ext cx="335280" cy="9017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zh-TW" w:eastAsia="zh-TW" w:bidi="zh-TW"/>
                            </w:rPr>
                            <w:t>#</w:t>
                          </w:r>
                          <w:r>
                            <w:rPr>
                              <w:rFonts w:ascii="Times New Roman" w:hAnsi="Times New Roman" w:eastAsia="Times New Roman" w:cs="Times New Roman"/>
                              <w:color w:val="000000"/>
                              <w:spacing w:val="0"/>
                              <w:w w:val="100"/>
                              <w:position w:val="0"/>
                              <w:sz w:val="20"/>
                              <w:szCs w:val="20"/>
                              <w:lang w:val="zh-TW" w:eastAsia="zh-TW" w:bidi="zh-TW"/>
                            </w:rPr>
                            <w:fldChar w:fldCharType="end"/>
                          </w:r>
                          <w:r>
                            <w:rPr>
                              <w:rFonts w:ascii="Times New Roman" w:hAnsi="Times New Roman" w:eastAsia="Times New Roman" w:cs="Times New Roman"/>
                              <w:color w:val="000000"/>
                              <w:spacing w:val="0"/>
                              <w:w w:val="100"/>
                              <w:position w:val="0"/>
                              <w:sz w:val="20"/>
                              <w:szCs w:val="20"/>
                              <w:lang w:val="zh-TW" w:eastAsia="zh-TW" w:bidi="zh-TW"/>
                            </w:rPr>
                            <w:t xml:space="preserve"> </w:t>
                          </w:r>
                          <w:r>
                            <w:rPr>
                              <w:rFonts w:ascii="Times New Roman" w:hAnsi="Times New Roman" w:eastAsia="Times New Roman" w:cs="Times New Roman"/>
                              <w:color w:val="000000"/>
                              <w:spacing w:val="0"/>
                              <w:w w:val="100"/>
                              <w:position w:val="0"/>
                              <w:sz w:val="20"/>
                              <w:szCs w:val="20"/>
                              <w:lang w:val="en-US" w:eastAsia="en-US" w:bidi="en-US"/>
                            </w:rPr>
                            <w:t>-</w:t>
                          </w:r>
                        </w:p>
                      </w:txbxContent>
                    </wps:txbx>
                    <wps:bodyPr wrap="none" lIns="0" tIns="0" rIns="0" bIns="0">
                      <a:spAutoFit/>
                    </wps:bodyPr>
                  </wps:wsp>
                </a:graphicData>
              </a:graphic>
            </wp:anchor>
          </w:drawing>
        </mc:Choice>
        <mc:Fallback>
          <w:pict>
            <v:shape id="Shape 24" o:spid="_x0000_s1026" o:spt="202" type="#_x0000_t202" style="position:absolute;left:0pt;margin-left:284.5pt;margin-top:787.55pt;height:7.1pt;width:26.4pt;mso-position-horizontal-relative:page;mso-position-vertical-relative:page;mso-wrap-style:none;z-index:-251657216;mso-width-relative:page;mso-height-relative:page;" filled="f" stroked="f" coordsize="21600,21600" o:gfxdata="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IhgW8NgAAAAN&#10;AQAADwAAAAAAAAABACAAAAA4AAAAZHJzL2Rvd25yZXYueG1sUEsBAhQAFAAAAAgAh07iQM0ySP+U&#10;AQAAJQMAAA4AAAAAAAAAAQAgAAAAPQEAAGRycy9lMm9Eb2MueG1sUEsFBgAAAAAGAAYAWQEAAEMF&#10;A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zh-TW" w:eastAsia="zh-TW" w:bidi="zh-TW"/>
                      </w:rPr>
                      <w:t>#</w:t>
                    </w:r>
                    <w:r>
                      <w:rPr>
                        <w:rFonts w:ascii="Times New Roman" w:hAnsi="Times New Roman" w:eastAsia="Times New Roman" w:cs="Times New Roman"/>
                        <w:color w:val="000000"/>
                        <w:spacing w:val="0"/>
                        <w:w w:val="100"/>
                        <w:position w:val="0"/>
                        <w:sz w:val="20"/>
                        <w:szCs w:val="20"/>
                        <w:lang w:val="zh-TW" w:eastAsia="zh-TW" w:bidi="zh-TW"/>
                      </w:rPr>
                      <w:fldChar w:fldCharType="end"/>
                    </w:r>
                    <w:r>
                      <w:rPr>
                        <w:rFonts w:ascii="Times New Roman" w:hAnsi="Times New Roman" w:eastAsia="Times New Roman" w:cs="Times New Roman"/>
                        <w:color w:val="000000"/>
                        <w:spacing w:val="0"/>
                        <w:w w:val="100"/>
                        <w:position w:val="0"/>
                        <w:sz w:val="20"/>
                        <w:szCs w:val="20"/>
                        <w:lang w:val="zh-TW" w:eastAsia="zh-TW" w:bidi="zh-TW"/>
                      </w:rPr>
                      <w:t xml:space="preserve"> </w:t>
                    </w:r>
                    <w:r>
                      <w:rPr>
                        <w:rFonts w:ascii="Times New Roman" w:hAnsi="Times New Roman" w:eastAsia="Times New Roman" w:cs="Times New Roman"/>
                        <w:color w:val="000000"/>
                        <w:spacing w:val="0"/>
                        <w:w w:val="100"/>
                        <w:position w:val="0"/>
                        <w:sz w:val="20"/>
                        <w:szCs w:val="20"/>
                        <w:lang w:val="en-US" w:eastAsia="en-US" w:bidi="en-US"/>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3613150</wp:posOffset>
              </wp:positionH>
              <wp:positionV relativeFrom="page">
                <wp:posOffset>10001885</wp:posOffset>
              </wp:positionV>
              <wp:extent cx="335280" cy="90170"/>
              <wp:effectExtent l="0" t="0" r="0" b="0"/>
              <wp:wrapNone/>
              <wp:docPr id="26" name="Shape 26"/>
              <wp:cNvGraphicFramePr/>
              <a:graphic xmlns:a="http://schemas.openxmlformats.org/drawingml/2006/main">
                <a:graphicData uri="http://schemas.microsoft.com/office/word/2010/wordprocessingShape">
                  <wps:wsp>
                    <wps:cNvSpPr txBox="true"/>
                    <wps:spPr>
                      <a:xfrm>
                        <a:off x="0" y="0"/>
                        <a:ext cx="335280" cy="9017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zh-TW" w:eastAsia="zh-TW" w:bidi="zh-TW"/>
                            </w:rPr>
                            <w:t>#</w:t>
                          </w:r>
                          <w:r>
                            <w:rPr>
                              <w:rFonts w:ascii="Times New Roman" w:hAnsi="Times New Roman" w:eastAsia="Times New Roman" w:cs="Times New Roman"/>
                              <w:color w:val="000000"/>
                              <w:spacing w:val="0"/>
                              <w:w w:val="100"/>
                              <w:position w:val="0"/>
                              <w:sz w:val="20"/>
                              <w:szCs w:val="20"/>
                              <w:lang w:val="zh-TW" w:eastAsia="zh-TW" w:bidi="zh-TW"/>
                            </w:rPr>
                            <w:fldChar w:fldCharType="end"/>
                          </w:r>
                          <w:r>
                            <w:rPr>
                              <w:rFonts w:ascii="Times New Roman" w:hAnsi="Times New Roman" w:eastAsia="Times New Roman" w:cs="Times New Roman"/>
                              <w:color w:val="000000"/>
                              <w:spacing w:val="0"/>
                              <w:w w:val="100"/>
                              <w:position w:val="0"/>
                              <w:sz w:val="20"/>
                              <w:szCs w:val="20"/>
                              <w:lang w:val="zh-TW" w:eastAsia="zh-TW" w:bidi="zh-TW"/>
                            </w:rPr>
                            <w:t xml:space="preserve"> </w:t>
                          </w:r>
                          <w:r>
                            <w:rPr>
                              <w:rFonts w:ascii="Times New Roman" w:hAnsi="Times New Roman" w:eastAsia="Times New Roman" w:cs="Times New Roman"/>
                              <w:color w:val="000000"/>
                              <w:spacing w:val="0"/>
                              <w:w w:val="100"/>
                              <w:position w:val="0"/>
                              <w:sz w:val="20"/>
                              <w:szCs w:val="20"/>
                              <w:lang w:val="en-US" w:eastAsia="en-US" w:bidi="en-US"/>
                            </w:rPr>
                            <w:t>-</w:t>
                          </w:r>
                        </w:p>
                      </w:txbxContent>
                    </wps:txbx>
                    <wps:bodyPr wrap="none" lIns="0" tIns="0" rIns="0" bIns="0">
                      <a:spAutoFit/>
                    </wps:bodyPr>
                  </wps:wsp>
                </a:graphicData>
              </a:graphic>
            </wp:anchor>
          </w:drawing>
        </mc:Choice>
        <mc:Fallback>
          <w:pict>
            <v:shape id="Shape 26" o:spid="_x0000_s1026" o:spt="202" type="#_x0000_t202" style="position:absolute;left:0pt;margin-left:284.5pt;margin-top:787.55pt;height:7.1pt;width:26.4pt;mso-position-horizontal-relative:page;mso-position-vertical-relative:page;mso-wrap-style:none;z-index:-251657216;mso-width-relative:page;mso-height-relative:page;" filled="f" stroked="f" coordsize="21600,21600" o:gfxdata="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AiGBbw2AAAAA0B&#10;AAAPAAAAAAAAAAEAIAAAADgAAABkcnMvZG93bnJldi54bWxQSwECFAAUAAAACACHTuJAvzH3ZZMB&#10;AAAlAwAADgAAAAAAAAABACAAAAA9AQAAZHJzL2Uyb0RvYy54bWxQSwUGAAAAAAYABgBZAQAAQgUA&#10;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zh-TW" w:eastAsia="zh-TW" w:bidi="zh-TW"/>
                      </w:rPr>
                      <w:t>#</w:t>
                    </w:r>
                    <w:r>
                      <w:rPr>
                        <w:rFonts w:ascii="Times New Roman" w:hAnsi="Times New Roman" w:eastAsia="Times New Roman" w:cs="Times New Roman"/>
                        <w:color w:val="000000"/>
                        <w:spacing w:val="0"/>
                        <w:w w:val="100"/>
                        <w:position w:val="0"/>
                        <w:sz w:val="20"/>
                        <w:szCs w:val="20"/>
                        <w:lang w:val="zh-TW" w:eastAsia="zh-TW" w:bidi="zh-TW"/>
                      </w:rPr>
                      <w:fldChar w:fldCharType="end"/>
                    </w:r>
                    <w:r>
                      <w:rPr>
                        <w:rFonts w:ascii="Times New Roman" w:hAnsi="Times New Roman" w:eastAsia="Times New Roman" w:cs="Times New Roman"/>
                        <w:color w:val="000000"/>
                        <w:spacing w:val="0"/>
                        <w:w w:val="100"/>
                        <w:position w:val="0"/>
                        <w:sz w:val="20"/>
                        <w:szCs w:val="20"/>
                        <w:lang w:val="zh-TW" w:eastAsia="zh-TW" w:bidi="zh-TW"/>
                      </w:rPr>
                      <w:t xml:space="preserve"> </w:t>
                    </w:r>
                    <w:r>
                      <w:rPr>
                        <w:rFonts w:ascii="Times New Roman" w:hAnsi="Times New Roman" w:eastAsia="Times New Roman" w:cs="Times New Roman"/>
                        <w:color w:val="000000"/>
                        <w:spacing w:val="0"/>
                        <w:w w:val="100"/>
                        <w:position w:val="0"/>
                        <w:sz w:val="20"/>
                        <w:szCs w:val="20"/>
                        <w:lang w:val="en-US" w:eastAsia="en-US" w:bidi="en-US"/>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p>
  </w:footnote>
  <w:footnote w:type="continuationSeparator" w:id="1">
    <w:p>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1010285</wp:posOffset>
              </wp:positionH>
              <wp:positionV relativeFrom="page">
                <wp:posOffset>1346200</wp:posOffset>
              </wp:positionV>
              <wp:extent cx="539750" cy="181610"/>
              <wp:effectExtent l="0" t="0" r="0" b="0"/>
              <wp:wrapNone/>
              <wp:docPr id="48" name="Shape 48"/>
              <wp:cNvGraphicFramePr/>
              <a:graphic xmlns:a="http://schemas.openxmlformats.org/drawingml/2006/main">
                <a:graphicData uri="http://schemas.microsoft.com/office/word/2010/wordprocessingShape">
                  <wps:wsp>
                    <wps:cNvSpPr txBox="true"/>
                    <wps:spPr>
                      <a:xfrm>
                        <a:off x="0" y="0"/>
                        <a:ext cx="539750" cy="18161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pPr>
                          <w:r>
                            <w:rPr>
                              <w:color w:val="2B2B2B"/>
                              <w:spacing w:val="0"/>
                              <w:w w:val="100"/>
                              <w:position w:val="0"/>
                              <w:lang w:val="zh-TW" w:eastAsia="zh-TW" w:bidi="zh-TW"/>
                            </w:rPr>
                            <w:t>附件</w:t>
                          </w:r>
                          <w:r>
                            <w:fldChar w:fldCharType="begin"/>
                          </w:r>
                          <w:r>
                            <w:instrText xml:space="preserve"> PAGE \* MERGEFORMAT </w:instrText>
                          </w:r>
                          <w:r>
                            <w:fldChar w:fldCharType="separate"/>
                          </w:r>
                          <w:r>
                            <w:rPr>
                              <w:color w:val="2B2B2B"/>
                              <w:spacing w:val="0"/>
                              <w:w w:val="100"/>
                              <w:position w:val="0"/>
                              <w:lang w:val="zh-TW" w:eastAsia="zh-TW" w:bidi="zh-TW"/>
                            </w:rPr>
                            <w:t>#</w:t>
                          </w:r>
                          <w:r>
                            <w:rPr>
                              <w:color w:val="2B2B2B"/>
                              <w:spacing w:val="0"/>
                              <w:w w:val="100"/>
                              <w:position w:val="0"/>
                              <w:lang w:val="zh-TW" w:eastAsia="zh-TW" w:bidi="zh-TW"/>
                            </w:rPr>
                            <w:fldChar w:fldCharType="end"/>
                          </w:r>
                        </w:p>
                      </w:txbxContent>
                    </wps:txbx>
                    <wps:bodyPr wrap="none" lIns="0" tIns="0" rIns="0" bIns="0">
                      <a:spAutoFit/>
                    </wps:bodyPr>
                  </wps:wsp>
                </a:graphicData>
              </a:graphic>
            </wp:anchor>
          </w:drawing>
        </mc:Choice>
        <mc:Fallback>
          <w:pict>
            <v:shape id="Shape 48" o:spid="_x0000_s1026" o:spt="202" type="#_x0000_t202" style="position:absolute;left:0pt;margin-left:79.55pt;margin-top:106pt;height:14.3pt;width:42.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EZYrV3WAAAACwEA&#10;AA8AAAAAAAAAAQAgAAAAOAAAAGRycy9kb3ducmV2LnhtbFBLAQIUABQAAAAIAIdO4kBpcOIIlAEA&#10;ACYDAAAOAAAAAAAAAAEAIAAAADsBAABkcnMvZTJvRG9jLnhtbFBLBQYAAAAABgAGAFkBAABBBQAA&#10;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pPr>
                    <w:r>
                      <w:rPr>
                        <w:color w:val="2B2B2B"/>
                        <w:spacing w:val="0"/>
                        <w:w w:val="100"/>
                        <w:position w:val="0"/>
                        <w:lang w:val="zh-TW" w:eastAsia="zh-TW" w:bidi="zh-TW"/>
                      </w:rPr>
                      <w:t>附件</w:t>
                    </w:r>
                    <w:r>
                      <w:fldChar w:fldCharType="begin"/>
                    </w:r>
                    <w:r>
                      <w:instrText xml:space="preserve"> PAGE \* MERGEFORMAT </w:instrText>
                    </w:r>
                    <w:r>
                      <w:fldChar w:fldCharType="separate"/>
                    </w:r>
                    <w:r>
                      <w:rPr>
                        <w:color w:val="2B2B2B"/>
                        <w:spacing w:val="0"/>
                        <w:w w:val="100"/>
                        <w:position w:val="0"/>
                        <w:lang w:val="zh-TW" w:eastAsia="zh-TW" w:bidi="zh-TW"/>
                      </w:rPr>
                      <w:t>#</w:t>
                    </w:r>
                    <w:r>
                      <w:rPr>
                        <w:color w:val="2B2B2B"/>
                        <w:spacing w:val="0"/>
                        <w:w w:val="100"/>
                        <w:position w:val="0"/>
                        <w:lang w:val="zh-TW" w:eastAsia="zh-TW" w:bidi="zh-TW"/>
                      </w:rPr>
                      <w:fldChar w:fldCharType="end"/>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988695</wp:posOffset>
              </wp:positionH>
              <wp:positionV relativeFrom="page">
                <wp:posOffset>1117600</wp:posOffset>
              </wp:positionV>
              <wp:extent cx="524510" cy="182880"/>
              <wp:effectExtent l="0" t="0" r="0" b="0"/>
              <wp:wrapNone/>
              <wp:docPr id="74" name="Shape 74"/>
              <wp:cNvGraphicFramePr/>
              <a:graphic xmlns:a="http://schemas.openxmlformats.org/drawingml/2006/main">
                <a:graphicData uri="http://schemas.microsoft.com/office/word/2010/wordprocessingShape">
                  <wps:wsp>
                    <wps:cNvSpPr txBox="true"/>
                    <wps:spPr>
                      <a:xfrm>
                        <a:off x="0" y="0"/>
                        <a:ext cx="524510" cy="18288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0"/>
                              <w:szCs w:val="30"/>
                              <w:lang w:val="zh-TW" w:eastAsia="zh-TW" w:bidi="zh-TW"/>
                            </w:rPr>
                            <w:t>附件</w:t>
                          </w:r>
                          <w:r>
                            <w:rPr>
                              <w:rFonts w:ascii="Times New Roman" w:hAnsi="Times New Roman" w:eastAsia="Times New Roman" w:cs="Times New Roman"/>
                              <w:color w:val="000000"/>
                              <w:spacing w:val="0"/>
                              <w:w w:val="100"/>
                              <w:position w:val="0"/>
                              <w:sz w:val="32"/>
                              <w:szCs w:val="32"/>
                              <w:lang w:val="zh-TW" w:eastAsia="zh-TW" w:bidi="zh-TW"/>
                            </w:rPr>
                            <w:t>2</w:t>
                          </w:r>
                        </w:p>
                      </w:txbxContent>
                    </wps:txbx>
                    <wps:bodyPr wrap="none" lIns="0" tIns="0" rIns="0" bIns="0">
                      <a:spAutoFit/>
                    </wps:bodyPr>
                  </wps:wsp>
                </a:graphicData>
              </a:graphic>
            </wp:anchor>
          </w:drawing>
        </mc:Choice>
        <mc:Fallback>
          <w:pict>
            <v:shape id="Shape 74" o:spid="_x0000_s1026" o:spt="202" type="#_x0000_t202" style="position:absolute;left:0pt;margin-left:77.85pt;margin-top:88pt;height:14.4pt;width:41.3pt;mso-position-horizontal-relative:page;mso-position-vertical-relative:page;mso-wrap-style:none;z-index:-251657216;mso-width-relative:page;mso-height-relative:page;" filled="f" stroked="f" coordsize="21600,21600" o:gfxdata="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GMED4/WAAAACwEA&#10;AA8AAAAAAAAAAQAgAAAAOAAAAGRycy9kb3ducmV2LnhtbFBLAQIUABQAAAAIAIdO4kC7uHuYlAEA&#10;ACYDAAAOAAAAAAAAAAEAIAAAADsBAABkcnMvZTJvRG9jLnhtbFBLBQYAAAAABgAGAFkBAABBBQAA&#10;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0"/>
                        <w:szCs w:val="30"/>
                        <w:lang w:val="zh-TW" w:eastAsia="zh-TW" w:bidi="zh-TW"/>
                      </w:rPr>
                      <w:t>附件</w:t>
                    </w:r>
                    <w:r>
                      <w:rPr>
                        <w:rFonts w:ascii="Times New Roman" w:hAnsi="Times New Roman" w:eastAsia="Times New Roman" w:cs="Times New Roman"/>
                        <w:color w:val="000000"/>
                        <w:spacing w:val="0"/>
                        <w:w w:val="100"/>
                        <w:position w:val="0"/>
                        <w:sz w:val="32"/>
                        <w:szCs w:val="32"/>
                        <w:lang w:val="zh-TW" w:eastAsia="zh-TW" w:bidi="zh-TW"/>
                      </w:rPr>
                      <w:t>2</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1010285</wp:posOffset>
              </wp:positionH>
              <wp:positionV relativeFrom="page">
                <wp:posOffset>1346200</wp:posOffset>
              </wp:positionV>
              <wp:extent cx="539750" cy="181610"/>
              <wp:effectExtent l="0" t="0" r="0" b="0"/>
              <wp:wrapNone/>
              <wp:docPr id="50" name="Shape 50"/>
              <wp:cNvGraphicFramePr/>
              <a:graphic xmlns:a="http://schemas.openxmlformats.org/drawingml/2006/main">
                <a:graphicData uri="http://schemas.microsoft.com/office/word/2010/wordprocessingShape">
                  <wps:wsp>
                    <wps:cNvSpPr txBox="true"/>
                    <wps:spPr>
                      <a:xfrm>
                        <a:off x="0" y="0"/>
                        <a:ext cx="539750" cy="18161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pPr>
                          <w:r>
                            <w:rPr>
                              <w:color w:val="2B2B2B"/>
                              <w:spacing w:val="0"/>
                              <w:w w:val="100"/>
                              <w:position w:val="0"/>
                              <w:lang w:val="zh-TW" w:eastAsia="zh-TW" w:bidi="zh-TW"/>
                            </w:rPr>
                            <w:t>附件</w:t>
                          </w:r>
                          <w:r>
                            <w:fldChar w:fldCharType="begin"/>
                          </w:r>
                          <w:r>
                            <w:instrText xml:space="preserve"> PAGE \* MERGEFORMAT </w:instrText>
                          </w:r>
                          <w:r>
                            <w:fldChar w:fldCharType="separate"/>
                          </w:r>
                          <w:r>
                            <w:rPr>
                              <w:color w:val="2B2B2B"/>
                              <w:spacing w:val="0"/>
                              <w:w w:val="100"/>
                              <w:position w:val="0"/>
                              <w:lang w:val="zh-TW" w:eastAsia="zh-TW" w:bidi="zh-TW"/>
                            </w:rPr>
                            <w:t>#</w:t>
                          </w:r>
                          <w:r>
                            <w:rPr>
                              <w:color w:val="2B2B2B"/>
                              <w:spacing w:val="0"/>
                              <w:w w:val="100"/>
                              <w:position w:val="0"/>
                              <w:lang w:val="zh-TW" w:eastAsia="zh-TW" w:bidi="zh-TW"/>
                            </w:rPr>
                            <w:fldChar w:fldCharType="end"/>
                          </w:r>
                        </w:p>
                      </w:txbxContent>
                    </wps:txbx>
                    <wps:bodyPr wrap="none" lIns="0" tIns="0" rIns="0" bIns="0">
                      <a:spAutoFit/>
                    </wps:bodyPr>
                  </wps:wsp>
                </a:graphicData>
              </a:graphic>
            </wp:anchor>
          </w:drawing>
        </mc:Choice>
        <mc:Fallback>
          <w:pict>
            <v:shape id="Shape 50" o:spid="_x0000_s1026" o:spt="202" type="#_x0000_t202" style="position:absolute;left:0pt;margin-left:79.55pt;margin-top:106pt;height:14.3pt;width:42.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WAAAAZHJzL1BLAQIUABQAAAAIAIdO4kBGWK1d1gAAAAsBAAAP&#10;AAAAAAAAAAEAIAAAADgAAABkcnMvZG93bnJldi54bWxQSwECFAAUAAAACACHTuJA/i2PMJIBAAAm&#10;AwAADgAAAAAAAAABACAAAAA7AQAAZHJzL2Uyb0RvYy54bWxQSwUGAAAAAAYABgBZAQAAPwU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pPr>
                    <w:r>
                      <w:rPr>
                        <w:color w:val="2B2B2B"/>
                        <w:spacing w:val="0"/>
                        <w:w w:val="100"/>
                        <w:position w:val="0"/>
                        <w:lang w:val="zh-TW" w:eastAsia="zh-TW" w:bidi="zh-TW"/>
                      </w:rPr>
                      <w:t>附件</w:t>
                    </w:r>
                    <w:r>
                      <w:fldChar w:fldCharType="begin"/>
                    </w:r>
                    <w:r>
                      <w:instrText xml:space="preserve"> PAGE \* MERGEFORMAT </w:instrText>
                    </w:r>
                    <w:r>
                      <w:fldChar w:fldCharType="separate"/>
                    </w:r>
                    <w:r>
                      <w:rPr>
                        <w:color w:val="2B2B2B"/>
                        <w:spacing w:val="0"/>
                        <w:w w:val="100"/>
                        <w:position w:val="0"/>
                        <w:lang w:val="zh-TW" w:eastAsia="zh-TW" w:bidi="zh-TW"/>
                      </w:rPr>
                      <w:t>#</w:t>
                    </w:r>
                    <w:r>
                      <w:rPr>
                        <w:color w:val="2B2B2B"/>
                        <w:spacing w:val="0"/>
                        <w:w w:val="100"/>
                        <w:position w:val="0"/>
                        <w:lang w:val="zh-TW" w:eastAsia="zh-TW" w:bidi="zh-TW"/>
                      </w:rPr>
                      <w:fldChar w:fldCharType="end"/>
                    </w:r>
                  </w:p>
                </w:txbxContent>
              </v:textbox>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1009650</wp:posOffset>
              </wp:positionH>
              <wp:positionV relativeFrom="page">
                <wp:posOffset>1247140</wp:posOffset>
              </wp:positionV>
              <wp:extent cx="544195" cy="179705"/>
              <wp:effectExtent l="0" t="0" r="0" b="0"/>
              <wp:wrapNone/>
              <wp:docPr id="53" name="Shape 53"/>
              <wp:cNvGraphicFramePr/>
              <a:graphic xmlns:a="http://schemas.openxmlformats.org/drawingml/2006/main">
                <a:graphicData uri="http://schemas.microsoft.com/office/word/2010/wordprocessingShape">
                  <wps:wsp>
                    <wps:cNvSpPr txBox="true"/>
                    <wps:spPr>
                      <a:xfrm>
                        <a:off x="0" y="0"/>
                        <a:ext cx="544195" cy="17970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pPr>
                          <w:r>
                            <w:rPr>
                              <w:color w:val="2B2B2B"/>
                              <w:spacing w:val="0"/>
                              <w:w w:val="100"/>
                              <w:position w:val="0"/>
                              <w:lang w:val="zh-TW" w:eastAsia="zh-TW" w:bidi="zh-TW"/>
                            </w:rPr>
                            <w:t>附件</w:t>
                          </w:r>
                          <w:r>
                            <w:fldChar w:fldCharType="begin"/>
                          </w:r>
                          <w:r>
                            <w:instrText xml:space="preserve"> PAGE \* MERGEFORMAT </w:instrText>
                          </w:r>
                          <w:r>
                            <w:fldChar w:fldCharType="separate"/>
                          </w:r>
                          <w:r>
                            <w:rPr>
                              <w:color w:val="2B2B2B"/>
                              <w:spacing w:val="0"/>
                              <w:w w:val="100"/>
                              <w:position w:val="0"/>
                              <w:lang w:val="zh-TW" w:eastAsia="zh-TW" w:bidi="zh-TW"/>
                            </w:rPr>
                            <w:t>#</w:t>
                          </w:r>
                          <w:r>
                            <w:rPr>
                              <w:color w:val="2B2B2B"/>
                              <w:spacing w:val="0"/>
                              <w:w w:val="100"/>
                              <w:position w:val="0"/>
                              <w:lang w:val="zh-TW" w:eastAsia="zh-TW" w:bidi="zh-TW"/>
                            </w:rPr>
                            <w:fldChar w:fldCharType="end"/>
                          </w:r>
                        </w:p>
                      </w:txbxContent>
                    </wps:txbx>
                    <wps:bodyPr wrap="none" lIns="0" tIns="0" rIns="0" bIns="0">
                      <a:spAutoFit/>
                    </wps:bodyPr>
                  </wps:wsp>
                </a:graphicData>
              </a:graphic>
            </wp:anchor>
          </w:drawing>
        </mc:Choice>
        <mc:Fallback>
          <w:pict>
            <v:shape id="Shape 53" o:spid="_x0000_s1026" o:spt="202" type="#_x0000_t202" style="position:absolute;left:0pt;margin-left:79.5pt;margin-top:98.2pt;height:14.15pt;width:42.8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Cr725O1gAAAAsB&#10;AAAPAAAAAAAAAAEAIAAAADgAAABkcnMvZG93bnJldi54bWxQSwECFAAUAAAACACHTuJAcIAfRZUB&#10;AAAmAwAADgAAAAAAAAABACAAAAA7AQAAZHJzL2Uyb0RvYy54bWxQSwUGAAAAAAYABgBZAQAAQgUA&#10;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pPr>
                    <w:r>
                      <w:rPr>
                        <w:color w:val="2B2B2B"/>
                        <w:spacing w:val="0"/>
                        <w:w w:val="100"/>
                        <w:position w:val="0"/>
                        <w:lang w:val="zh-TW" w:eastAsia="zh-TW" w:bidi="zh-TW"/>
                      </w:rPr>
                      <w:t>附件</w:t>
                    </w:r>
                    <w:r>
                      <w:fldChar w:fldCharType="begin"/>
                    </w:r>
                    <w:r>
                      <w:instrText xml:space="preserve"> PAGE \* MERGEFORMAT </w:instrText>
                    </w:r>
                    <w:r>
                      <w:fldChar w:fldCharType="separate"/>
                    </w:r>
                    <w:r>
                      <w:rPr>
                        <w:color w:val="2B2B2B"/>
                        <w:spacing w:val="0"/>
                        <w:w w:val="100"/>
                        <w:position w:val="0"/>
                        <w:lang w:val="zh-TW" w:eastAsia="zh-TW" w:bidi="zh-TW"/>
                      </w:rPr>
                      <w:t>#</w:t>
                    </w:r>
                    <w:r>
                      <w:rPr>
                        <w:color w:val="2B2B2B"/>
                        <w:spacing w:val="0"/>
                        <w:w w:val="100"/>
                        <w:position w:val="0"/>
                        <w:lang w:val="zh-TW" w:eastAsia="zh-TW" w:bidi="zh-TW"/>
                      </w:rP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1009650</wp:posOffset>
              </wp:positionH>
              <wp:positionV relativeFrom="page">
                <wp:posOffset>1247140</wp:posOffset>
              </wp:positionV>
              <wp:extent cx="544195" cy="179705"/>
              <wp:effectExtent l="0" t="0" r="0" b="0"/>
              <wp:wrapNone/>
              <wp:docPr id="57" name="Shape 57"/>
              <wp:cNvGraphicFramePr/>
              <a:graphic xmlns:a="http://schemas.openxmlformats.org/drawingml/2006/main">
                <a:graphicData uri="http://schemas.microsoft.com/office/word/2010/wordprocessingShape">
                  <wps:wsp>
                    <wps:cNvSpPr txBox="true"/>
                    <wps:spPr>
                      <a:xfrm>
                        <a:off x="0" y="0"/>
                        <a:ext cx="544195" cy="17970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pPr>
                          <w:r>
                            <w:rPr>
                              <w:color w:val="2B2B2B"/>
                              <w:spacing w:val="0"/>
                              <w:w w:val="100"/>
                              <w:position w:val="0"/>
                              <w:lang w:val="zh-TW" w:eastAsia="zh-TW" w:bidi="zh-TW"/>
                            </w:rPr>
                            <w:t>附件</w:t>
                          </w:r>
                          <w:r>
                            <w:fldChar w:fldCharType="begin"/>
                          </w:r>
                          <w:r>
                            <w:instrText xml:space="preserve"> PAGE \* MERGEFORMAT </w:instrText>
                          </w:r>
                          <w:r>
                            <w:fldChar w:fldCharType="separate"/>
                          </w:r>
                          <w:r>
                            <w:rPr>
                              <w:color w:val="2B2B2B"/>
                              <w:spacing w:val="0"/>
                              <w:w w:val="100"/>
                              <w:position w:val="0"/>
                              <w:lang w:val="zh-TW" w:eastAsia="zh-TW" w:bidi="zh-TW"/>
                            </w:rPr>
                            <w:t>#</w:t>
                          </w:r>
                          <w:r>
                            <w:rPr>
                              <w:color w:val="2B2B2B"/>
                              <w:spacing w:val="0"/>
                              <w:w w:val="100"/>
                              <w:position w:val="0"/>
                              <w:lang w:val="zh-TW" w:eastAsia="zh-TW" w:bidi="zh-TW"/>
                            </w:rPr>
                            <w:fldChar w:fldCharType="end"/>
                          </w:r>
                        </w:p>
                      </w:txbxContent>
                    </wps:txbx>
                    <wps:bodyPr wrap="none" lIns="0" tIns="0" rIns="0" bIns="0">
                      <a:spAutoFit/>
                    </wps:bodyPr>
                  </wps:wsp>
                </a:graphicData>
              </a:graphic>
            </wp:anchor>
          </w:drawing>
        </mc:Choice>
        <mc:Fallback>
          <w:pict>
            <v:shape id="Shape 57" o:spid="_x0000_s1026" o:spt="202" type="#_x0000_t202" style="position:absolute;left:0pt;margin-left:79.5pt;margin-top:98.2pt;height:14.15pt;width:42.8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Cr725O1gAAAAsB&#10;AAAPAAAAAAAAAAEAIAAAADgAAABkcnMvZG93bnJldi54bWxQSwECFAAUAAAACACHTuJAF9hN45UB&#10;AAAmAwAADgAAAAAAAAABACAAAAA7AQAAZHJzL2Uyb0RvYy54bWxQSwUGAAAAAAYABgBZAQAAQgUA&#10;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pPr>
                    <w:r>
                      <w:rPr>
                        <w:color w:val="2B2B2B"/>
                        <w:spacing w:val="0"/>
                        <w:w w:val="100"/>
                        <w:position w:val="0"/>
                        <w:lang w:val="zh-TW" w:eastAsia="zh-TW" w:bidi="zh-TW"/>
                      </w:rPr>
                      <w:t>附件</w:t>
                    </w:r>
                    <w:r>
                      <w:fldChar w:fldCharType="begin"/>
                    </w:r>
                    <w:r>
                      <w:instrText xml:space="preserve"> PAGE \* MERGEFORMAT </w:instrText>
                    </w:r>
                    <w:r>
                      <w:fldChar w:fldCharType="separate"/>
                    </w:r>
                    <w:r>
                      <w:rPr>
                        <w:color w:val="2B2B2B"/>
                        <w:spacing w:val="0"/>
                        <w:w w:val="100"/>
                        <w:position w:val="0"/>
                        <w:lang w:val="zh-TW" w:eastAsia="zh-TW" w:bidi="zh-TW"/>
                      </w:rPr>
                      <w:t>#</w:t>
                    </w:r>
                    <w:r>
                      <w:rPr>
                        <w:color w:val="2B2B2B"/>
                        <w:spacing w:val="0"/>
                        <w:w w:val="100"/>
                        <w:position w:val="0"/>
                        <w:lang w:val="zh-TW" w:eastAsia="zh-TW" w:bidi="zh-TW"/>
                      </w:rPr>
                      <w:fldChar w:fldCharType="end"/>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1009650</wp:posOffset>
              </wp:positionH>
              <wp:positionV relativeFrom="page">
                <wp:posOffset>1346200</wp:posOffset>
              </wp:positionV>
              <wp:extent cx="544195" cy="179705"/>
              <wp:effectExtent l="0" t="0" r="0" b="0"/>
              <wp:wrapNone/>
              <wp:docPr id="61" name="Shape 61"/>
              <wp:cNvGraphicFramePr/>
              <a:graphic xmlns:a="http://schemas.openxmlformats.org/drawingml/2006/main">
                <a:graphicData uri="http://schemas.microsoft.com/office/word/2010/wordprocessingShape">
                  <wps:wsp>
                    <wps:cNvSpPr txBox="true"/>
                    <wps:spPr>
                      <a:xfrm>
                        <a:off x="0" y="0"/>
                        <a:ext cx="544195" cy="17970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pPr>
                          <w:r>
                            <w:rPr>
                              <w:b/>
                              <w:bCs/>
                              <w:color w:val="2B2B2B"/>
                              <w:spacing w:val="0"/>
                              <w:w w:val="100"/>
                              <w:position w:val="0"/>
                              <w:lang w:val="zh-TW" w:eastAsia="zh-TW" w:bidi="zh-TW"/>
                            </w:rPr>
                            <w:t>附件</w:t>
                          </w:r>
                          <w:r>
                            <w:fldChar w:fldCharType="begin"/>
                          </w:r>
                          <w:r>
                            <w:instrText xml:space="preserve"> PAGE \* MERGEFORMAT </w:instrText>
                          </w:r>
                          <w:r>
                            <w:fldChar w:fldCharType="separate"/>
                          </w:r>
                          <w:r>
                            <w:rPr>
                              <w:color w:val="2B2B2B"/>
                              <w:spacing w:val="0"/>
                              <w:w w:val="100"/>
                              <w:position w:val="0"/>
                              <w:lang w:val="zh-TW" w:eastAsia="zh-TW" w:bidi="zh-TW"/>
                            </w:rPr>
                            <w:t>#</w:t>
                          </w:r>
                          <w:r>
                            <w:rPr>
                              <w:color w:val="2B2B2B"/>
                              <w:spacing w:val="0"/>
                              <w:w w:val="100"/>
                              <w:position w:val="0"/>
                              <w:lang w:val="zh-TW" w:eastAsia="zh-TW" w:bidi="zh-TW"/>
                            </w:rPr>
                            <w:fldChar w:fldCharType="end"/>
                          </w:r>
                        </w:p>
                      </w:txbxContent>
                    </wps:txbx>
                    <wps:bodyPr wrap="none" lIns="0" tIns="0" rIns="0" bIns="0">
                      <a:spAutoFit/>
                    </wps:bodyPr>
                  </wps:wsp>
                </a:graphicData>
              </a:graphic>
            </wp:anchor>
          </w:drawing>
        </mc:Choice>
        <mc:Fallback>
          <w:pict>
            <v:shape id="Shape 61" o:spid="_x0000_s1026" o:spt="202" type="#_x0000_t202" style="position:absolute;left:0pt;margin-left:79.5pt;margin-top:106pt;height:14.15pt;width:42.8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AhQFIZ1gAAAAsB&#10;AAAPAAAAAAAAAAEAIAAAADgAAABkcnMvZG93bnJldi54bWxQSwECFAAUAAAACACHTuJAChQ20JUB&#10;AAAmAwAADgAAAAAAAAABACAAAAA7AQAAZHJzL2Uyb0RvYy54bWxQSwUGAAAAAAYABgBZAQAAQgUA&#10;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pPr>
                    <w:r>
                      <w:rPr>
                        <w:b/>
                        <w:bCs/>
                        <w:color w:val="2B2B2B"/>
                        <w:spacing w:val="0"/>
                        <w:w w:val="100"/>
                        <w:position w:val="0"/>
                        <w:lang w:val="zh-TW" w:eastAsia="zh-TW" w:bidi="zh-TW"/>
                      </w:rPr>
                      <w:t>附件</w:t>
                    </w:r>
                    <w:r>
                      <w:fldChar w:fldCharType="begin"/>
                    </w:r>
                    <w:r>
                      <w:instrText xml:space="preserve"> PAGE \* MERGEFORMAT </w:instrText>
                    </w:r>
                    <w:r>
                      <w:fldChar w:fldCharType="separate"/>
                    </w:r>
                    <w:r>
                      <w:rPr>
                        <w:color w:val="2B2B2B"/>
                        <w:spacing w:val="0"/>
                        <w:w w:val="100"/>
                        <w:position w:val="0"/>
                        <w:lang w:val="zh-TW" w:eastAsia="zh-TW" w:bidi="zh-TW"/>
                      </w:rPr>
                      <w:t>#</w:t>
                    </w:r>
                    <w:r>
                      <w:rPr>
                        <w:color w:val="2B2B2B"/>
                        <w:spacing w:val="0"/>
                        <w:w w:val="100"/>
                        <w:position w:val="0"/>
                        <w:lang w:val="zh-TW" w:eastAsia="zh-TW" w:bidi="zh-TW"/>
                      </w:rPr>
                      <w:fldChar w:fldCharType="end"/>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1009650</wp:posOffset>
              </wp:positionH>
              <wp:positionV relativeFrom="page">
                <wp:posOffset>1346200</wp:posOffset>
              </wp:positionV>
              <wp:extent cx="544195" cy="179705"/>
              <wp:effectExtent l="0" t="0" r="0" b="0"/>
              <wp:wrapNone/>
              <wp:docPr id="63" name="Shape 63"/>
              <wp:cNvGraphicFramePr/>
              <a:graphic xmlns:a="http://schemas.openxmlformats.org/drawingml/2006/main">
                <a:graphicData uri="http://schemas.microsoft.com/office/word/2010/wordprocessingShape">
                  <wps:wsp>
                    <wps:cNvSpPr txBox="true"/>
                    <wps:spPr>
                      <a:xfrm>
                        <a:off x="0" y="0"/>
                        <a:ext cx="544195" cy="17970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pPr>
                          <w:r>
                            <w:rPr>
                              <w:b/>
                              <w:bCs/>
                              <w:color w:val="2B2B2B"/>
                              <w:spacing w:val="0"/>
                              <w:w w:val="100"/>
                              <w:position w:val="0"/>
                              <w:lang w:val="zh-TW" w:eastAsia="zh-TW" w:bidi="zh-TW"/>
                            </w:rPr>
                            <w:t>附件</w:t>
                          </w:r>
                          <w:r>
                            <w:fldChar w:fldCharType="begin"/>
                          </w:r>
                          <w:r>
                            <w:instrText xml:space="preserve"> PAGE \* MERGEFORMAT </w:instrText>
                          </w:r>
                          <w:r>
                            <w:fldChar w:fldCharType="separate"/>
                          </w:r>
                          <w:r>
                            <w:rPr>
                              <w:color w:val="2B2B2B"/>
                              <w:spacing w:val="0"/>
                              <w:w w:val="100"/>
                              <w:position w:val="0"/>
                              <w:lang w:val="zh-TW" w:eastAsia="zh-TW" w:bidi="zh-TW"/>
                            </w:rPr>
                            <w:t>#</w:t>
                          </w:r>
                          <w:r>
                            <w:rPr>
                              <w:color w:val="2B2B2B"/>
                              <w:spacing w:val="0"/>
                              <w:w w:val="100"/>
                              <w:position w:val="0"/>
                              <w:lang w:val="zh-TW" w:eastAsia="zh-TW" w:bidi="zh-TW"/>
                            </w:rPr>
                            <w:fldChar w:fldCharType="end"/>
                          </w:r>
                        </w:p>
                      </w:txbxContent>
                    </wps:txbx>
                    <wps:bodyPr wrap="none" lIns="0" tIns="0" rIns="0" bIns="0">
                      <a:spAutoFit/>
                    </wps:bodyPr>
                  </wps:wsp>
                </a:graphicData>
              </a:graphic>
            </wp:anchor>
          </w:drawing>
        </mc:Choice>
        <mc:Fallback>
          <w:pict>
            <v:shape id="Shape 63" o:spid="_x0000_s1026" o:spt="202" type="#_x0000_t202" style="position:absolute;left:0pt;margin-left:79.5pt;margin-top:106pt;height:14.15pt;width:42.8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IUBSGdYAAAAL&#10;AQAADwAAAAAAAAABACAAAAA4AAAAZHJzL2Rvd25yZXYueG1sUEsBAhQAFAAAAAgAh07iQBm7p26W&#10;AQAAJgMAAA4AAAAAAAAAAQAgAAAAOwEAAGRycy9lMm9Eb2MueG1sUEsFBgAAAAAGAAYAWQEAAEMF&#10;A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pPr>
                    <w:r>
                      <w:rPr>
                        <w:b/>
                        <w:bCs/>
                        <w:color w:val="2B2B2B"/>
                        <w:spacing w:val="0"/>
                        <w:w w:val="100"/>
                        <w:position w:val="0"/>
                        <w:lang w:val="zh-TW" w:eastAsia="zh-TW" w:bidi="zh-TW"/>
                      </w:rPr>
                      <w:t>附件</w:t>
                    </w:r>
                    <w:r>
                      <w:fldChar w:fldCharType="begin"/>
                    </w:r>
                    <w:r>
                      <w:instrText xml:space="preserve"> PAGE \* MERGEFORMAT </w:instrText>
                    </w:r>
                    <w:r>
                      <w:fldChar w:fldCharType="separate"/>
                    </w:r>
                    <w:r>
                      <w:rPr>
                        <w:color w:val="2B2B2B"/>
                        <w:spacing w:val="0"/>
                        <w:w w:val="100"/>
                        <w:position w:val="0"/>
                        <w:lang w:val="zh-TW" w:eastAsia="zh-TW" w:bidi="zh-TW"/>
                      </w:rPr>
                      <w:t>#</w:t>
                    </w:r>
                    <w:r>
                      <w:rPr>
                        <w:color w:val="2B2B2B"/>
                        <w:spacing w:val="0"/>
                        <w:w w:val="100"/>
                        <w:position w:val="0"/>
                        <w:lang w:val="zh-TW" w:eastAsia="zh-TW" w:bidi="zh-TW"/>
                      </w:rPr>
                      <w:fldChar w:fldCharType="end"/>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988695</wp:posOffset>
              </wp:positionH>
              <wp:positionV relativeFrom="page">
                <wp:posOffset>1117600</wp:posOffset>
              </wp:positionV>
              <wp:extent cx="524510" cy="182880"/>
              <wp:effectExtent l="0" t="0" r="0" b="0"/>
              <wp:wrapNone/>
              <wp:docPr id="70" name="Shape 70"/>
              <wp:cNvGraphicFramePr/>
              <a:graphic xmlns:a="http://schemas.openxmlformats.org/drawingml/2006/main">
                <a:graphicData uri="http://schemas.microsoft.com/office/word/2010/wordprocessingShape">
                  <wps:wsp>
                    <wps:cNvSpPr txBox="true"/>
                    <wps:spPr>
                      <a:xfrm>
                        <a:off x="0" y="0"/>
                        <a:ext cx="524510" cy="18288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0"/>
                              <w:szCs w:val="30"/>
                              <w:lang w:val="zh-TW" w:eastAsia="zh-TW" w:bidi="zh-TW"/>
                            </w:rPr>
                            <w:t>附件</w:t>
                          </w:r>
                          <w:r>
                            <w:rPr>
                              <w:rFonts w:ascii="Times New Roman" w:hAnsi="Times New Roman" w:eastAsia="Times New Roman" w:cs="Times New Roman"/>
                              <w:color w:val="000000"/>
                              <w:spacing w:val="0"/>
                              <w:w w:val="100"/>
                              <w:position w:val="0"/>
                              <w:sz w:val="32"/>
                              <w:szCs w:val="32"/>
                              <w:lang w:val="zh-TW" w:eastAsia="zh-TW" w:bidi="zh-TW"/>
                            </w:rPr>
                            <w:t>2</w:t>
                          </w:r>
                        </w:p>
                      </w:txbxContent>
                    </wps:txbx>
                    <wps:bodyPr wrap="none" lIns="0" tIns="0" rIns="0" bIns="0">
                      <a:spAutoFit/>
                    </wps:bodyPr>
                  </wps:wsp>
                </a:graphicData>
              </a:graphic>
            </wp:anchor>
          </w:drawing>
        </mc:Choice>
        <mc:Fallback>
          <w:pict>
            <v:shape id="Shape 70" o:spid="_x0000_s1026" o:spt="202" type="#_x0000_t202" style="position:absolute;left:0pt;margin-left:77.85pt;margin-top:88pt;height:14.4pt;width:41.3pt;mso-position-horizontal-relative:page;mso-position-vertical-relative:page;mso-wrap-style:none;z-index:-251657216;mso-width-relative:page;mso-height-relative:page;" filled="f" stroked="f" coordsize="21600,21600" o:gfxdata="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FgAAAGRycy9QSwECFAAUAAAACACHTuJAYwQPj9YAAAALAQAA&#10;DwAAAAAAAAABACAAAAA4AAAAZHJzL2Rvd25yZXYueG1sUEsBAhQAFAAAAAgAh07iQNzgKT6TAQAA&#10;JgMAAA4AAAAAAAAAAQAgAAAAOwEAAGRycy9lMm9Eb2MueG1sUEsFBgAAAAAGAAYAWQEAAEAFAAAA&#10;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0"/>
                        <w:szCs w:val="30"/>
                        <w:lang w:val="zh-TW" w:eastAsia="zh-TW" w:bidi="zh-TW"/>
                      </w:rPr>
                      <w:t>附件</w:t>
                    </w:r>
                    <w:r>
                      <w:rPr>
                        <w:rFonts w:ascii="Times New Roman" w:hAnsi="Times New Roman" w:eastAsia="Times New Roman" w:cs="Times New Roman"/>
                        <w:color w:val="000000"/>
                        <w:spacing w:val="0"/>
                        <w:w w:val="100"/>
                        <w:position w:val="0"/>
                        <w:sz w:val="32"/>
                        <w:szCs w:val="32"/>
                        <w:lang w:val="zh-TW" w:eastAsia="zh-TW" w:bidi="zh-TW"/>
                      </w:rPr>
                      <w:t>2</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1">
    <w:nsid w:val="9C8AC8EF"/>
    <w:multiLevelType w:val="singleLevel"/>
    <w:tmpl w:val="9C8AC8EF"/>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2">
    <w:nsid w:val="B5E306ED"/>
    <w:multiLevelType w:val="singleLevel"/>
    <w:tmpl w:val="B5E306ED"/>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3">
    <w:nsid w:val="C8879AEF"/>
    <w:multiLevelType w:val="singleLevel"/>
    <w:tmpl w:val="C8879AEF"/>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4">
    <w:nsid w:val="D7F9FE59"/>
    <w:multiLevelType w:val="singleLevel"/>
    <w:tmpl w:val="D7F9FE5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5">
    <w:nsid w:val="DCBA6B53"/>
    <w:multiLevelType w:val="singleLevel"/>
    <w:tmpl w:val="DCBA6B53"/>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6">
    <w:nsid w:val="F4B5D9F5"/>
    <w:multiLevelType w:val="singleLevel"/>
    <w:tmpl w:val="F4B5D9F5"/>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7">
    <w:nsid w:val="0248C179"/>
    <w:multiLevelType w:val="singleLevel"/>
    <w:tmpl w:val="0248C17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8">
    <w:nsid w:val="03D62ECE"/>
    <w:multiLevelType w:val="singleLevel"/>
    <w:tmpl w:val="03D62ECE"/>
    <w:lvl w:ilvl="0" w:tentative="0">
      <w:start w:val="2"/>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9">
    <w:nsid w:val="2470EC97"/>
    <w:multiLevelType w:val="singleLevel"/>
    <w:tmpl w:val="2470EC97"/>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10">
    <w:nsid w:val="25B654F3"/>
    <w:multiLevelType w:val="singleLevel"/>
    <w:tmpl w:val="25B654F3"/>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11">
    <w:nsid w:val="2A8F537B"/>
    <w:multiLevelType w:val="singleLevel"/>
    <w:tmpl w:val="2A8F537B"/>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12">
    <w:nsid w:val="4C1BAE26"/>
    <w:multiLevelType w:val="singleLevel"/>
    <w:tmpl w:val="4C1BAE26"/>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13">
    <w:nsid w:val="4D4DC07F"/>
    <w:multiLevelType w:val="singleLevel"/>
    <w:tmpl w:val="4D4DC07F"/>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14">
    <w:nsid w:val="5A241D34"/>
    <w:multiLevelType w:val="singleLevel"/>
    <w:tmpl w:val="5A241D3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15">
    <w:nsid w:val="72183CF9"/>
    <w:multiLevelType w:val="singleLevel"/>
    <w:tmpl w:val="72183CF9"/>
    <w:lvl w:ilvl="0" w:tentative="0">
      <w:start w:val="2"/>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en-US" w:eastAsia="en-US" w:bidi="en-US"/>
      </w:rPr>
    </w:lvl>
  </w:abstractNum>
  <w:num w:numId="1">
    <w:abstractNumId w:val="2"/>
  </w:num>
  <w:num w:numId="2">
    <w:abstractNumId w:val="8"/>
  </w:num>
  <w:num w:numId="3">
    <w:abstractNumId w:val="10"/>
  </w:num>
  <w:num w:numId="4">
    <w:abstractNumId w:val="15"/>
  </w:num>
  <w:num w:numId="5">
    <w:abstractNumId w:val="7"/>
  </w:num>
  <w:num w:numId="6">
    <w:abstractNumId w:val="0"/>
  </w:num>
  <w:num w:numId="7">
    <w:abstractNumId w:val="11"/>
  </w:num>
  <w:num w:numId="8">
    <w:abstractNumId w:val="14"/>
  </w:num>
  <w:num w:numId="9">
    <w:abstractNumId w:val="3"/>
  </w:num>
  <w:num w:numId="10">
    <w:abstractNumId w:val="13"/>
  </w:num>
  <w:num w:numId="11">
    <w:abstractNumId w:val="6"/>
  </w:num>
  <w:num w:numId="12">
    <w:abstractNumId w:val="9"/>
  </w:num>
  <w:num w:numId="13">
    <w:abstractNumId w:val="5"/>
  </w:num>
  <w:num w:numId="14">
    <w:abstractNumId w:val="4"/>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evenAndOddHeaders w:val="true"/>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ZGIyNmJhNTdiODg4OWM3NmMyYTEwZDllOWMzZDg3OTgifQ=="/>
  </w:docVars>
  <w:rsids>
    <w:rsidRoot w:val="00000000"/>
    <w:rsid w:val="735E40BE"/>
    <w:rsid w:val="D9F7FA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color w:val="FD0000"/>
      <w:sz w:val="98"/>
      <w:szCs w:val="98"/>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outlineLvl w:val="0"/>
    </w:pPr>
    <w:rPr>
      <w:rFonts w:ascii="宋体" w:hAnsi="宋体" w:eastAsia="宋体" w:cs="宋体"/>
      <w:color w:val="FD0000"/>
      <w:sz w:val="98"/>
      <w:szCs w:val="98"/>
      <w:u w:val="none"/>
      <w:shd w:val="clear" w:color="auto" w:fill="auto"/>
      <w:lang w:val="zh-TW" w:eastAsia="zh-TW" w:bidi="zh-TW"/>
    </w:rPr>
  </w:style>
  <w:style w:type="character" w:customStyle="1" w:styleId="6">
    <w:name w:val="Body text|3_"/>
    <w:basedOn w:val="3"/>
    <w:link w:val="7"/>
    <w:qFormat/>
    <w:uiPriority w:val="0"/>
    <w:rPr>
      <w:rFonts w:ascii="宋体" w:hAnsi="宋体" w:eastAsia="宋体" w:cs="宋体"/>
      <w:color w:val="FD0000"/>
      <w:sz w:val="50"/>
      <w:szCs w:val="50"/>
      <w:u w:val="none"/>
      <w:shd w:val="clear" w:color="auto" w:fill="auto"/>
      <w:lang w:val="zh-TW" w:eastAsia="zh-TW" w:bidi="zh-TW"/>
    </w:rPr>
  </w:style>
  <w:style w:type="paragraph" w:customStyle="1" w:styleId="7">
    <w:name w:val="Body text|3"/>
    <w:basedOn w:val="1"/>
    <w:link w:val="6"/>
    <w:qFormat/>
    <w:uiPriority w:val="0"/>
    <w:pPr>
      <w:widowControl w:val="0"/>
      <w:shd w:val="clear" w:color="auto" w:fill="auto"/>
      <w:spacing w:line="1176" w:lineRule="exact"/>
      <w:jc w:val="right"/>
    </w:pPr>
    <w:rPr>
      <w:rFonts w:ascii="宋体" w:hAnsi="宋体" w:eastAsia="宋体" w:cs="宋体"/>
      <w:color w:val="FD0000"/>
      <w:sz w:val="50"/>
      <w:szCs w:val="50"/>
      <w:u w:val="none"/>
      <w:shd w:val="clear" w:color="auto" w:fill="auto"/>
      <w:lang w:val="zh-TW" w:eastAsia="zh-TW" w:bidi="zh-TW"/>
    </w:rPr>
  </w:style>
  <w:style w:type="character" w:customStyle="1" w:styleId="8">
    <w:name w:val="Body text|6_"/>
    <w:basedOn w:val="3"/>
    <w:link w:val="9"/>
    <w:qFormat/>
    <w:uiPriority w:val="0"/>
    <w:rPr>
      <w:rFonts w:ascii="宋体" w:hAnsi="宋体" w:eastAsia="宋体" w:cs="宋体"/>
      <w:sz w:val="136"/>
      <w:szCs w:val="136"/>
      <w:u w:val="none"/>
      <w:shd w:val="clear" w:color="auto" w:fill="FFFFFF"/>
      <w:lang w:val="zh-TW" w:eastAsia="zh-TW" w:bidi="zh-TW"/>
    </w:rPr>
  </w:style>
  <w:style w:type="paragraph" w:customStyle="1" w:styleId="9">
    <w:name w:val="Body text|6"/>
    <w:basedOn w:val="1"/>
    <w:link w:val="8"/>
    <w:qFormat/>
    <w:uiPriority w:val="0"/>
    <w:pPr>
      <w:widowControl w:val="0"/>
      <w:shd w:val="clear" w:color="auto" w:fill="auto"/>
      <w:spacing w:after="120" w:line="917" w:lineRule="exact"/>
      <w:jc w:val="right"/>
    </w:pPr>
    <w:rPr>
      <w:rFonts w:ascii="宋体" w:hAnsi="宋体" w:eastAsia="宋体" w:cs="宋体"/>
      <w:sz w:val="136"/>
      <w:szCs w:val="136"/>
      <w:u w:val="none"/>
      <w:shd w:val="clear" w:color="auto" w:fill="FFFFFF"/>
      <w:lang w:val="zh-TW" w:eastAsia="zh-TW" w:bidi="zh-TW"/>
    </w:rPr>
  </w:style>
  <w:style w:type="character" w:customStyle="1" w:styleId="10">
    <w:name w:val="Header or footer|2_"/>
    <w:basedOn w:val="3"/>
    <w:link w:val="11"/>
    <w:qFormat/>
    <w:uiPriority w:val="0"/>
    <w:rPr>
      <w:sz w:val="20"/>
      <w:szCs w:val="20"/>
      <w:u w:val="none"/>
      <w:shd w:val="clear" w:color="auto" w:fill="auto"/>
      <w:lang w:val="zh-TW" w:eastAsia="zh-TW" w:bidi="zh-TW"/>
    </w:rPr>
  </w:style>
  <w:style w:type="paragraph" w:customStyle="1" w:styleId="11">
    <w:name w:val="Header or footer|2"/>
    <w:basedOn w:val="1"/>
    <w:link w:val="10"/>
    <w:qFormat/>
    <w:uiPriority w:val="0"/>
    <w:pPr>
      <w:widowControl w:val="0"/>
      <w:shd w:val="clear" w:color="auto" w:fill="auto"/>
    </w:pPr>
    <w:rPr>
      <w:sz w:val="20"/>
      <w:szCs w:val="20"/>
      <w:u w:val="none"/>
      <w:shd w:val="clear" w:color="auto" w:fill="auto"/>
      <w:lang w:val="zh-TW" w:eastAsia="zh-TW" w:bidi="zh-TW"/>
    </w:rPr>
  </w:style>
  <w:style w:type="character" w:customStyle="1" w:styleId="12">
    <w:name w:val="Body text|1_"/>
    <w:basedOn w:val="3"/>
    <w:link w:val="13"/>
    <w:qFormat/>
    <w:uiPriority w:val="0"/>
    <w:rPr>
      <w:rFonts w:ascii="宋体" w:hAnsi="宋体" w:eastAsia="宋体" w:cs="宋体"/>
      <w:sz w:val="30"/>
      <w:szCs w:val="30"/>
      <w:u w:val="none"/>
      <w:shd w:val="clear" w:color="auto" w:fill="auto"/>
      <w:lang w:val="zh-TW" w:eastAsia="zh-TW" w:bidi="zh-TW"/>
    </w:rPr>
  </w:style>
  <w:style w:type="paragraph" w:customStyle="1" w:styleId="13">
    <w:name w:val="Body text|1"/>
    <w:basedOn w:val="1"/>
    <w:link w:val="12"/>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character" w:customStyle="1" w:styleId="14">
    <w:name w:val="Heading #2|1_"/>
    <w:basedOn w:val="3"/>
    <w:link w:val="15"/>
    <w:qFormat/>
    <w:uiPriority w:val="0"/>
    <w:rPr>
      <w:rFonts w:ascii="宋体" w:hAnsi="宋体" w:eastAsia="宋体" w:cs="宋体"/>
      <w:sz w:val="42"/>
      <w:szCs w:val="42"/>
      <w:u w:val="none"/>
      <w:shd w:val="clear" w:color="auto" w:fill="auto"/>
      <w:lang w:val="zh-TW" w:eastAsia="zh-TW" w:bidi="zh-TW"/>
    </w:rPr>
  </w:style>
  <w:style w:type="paragraph" w:customStyle="1" w:styleId="15">
    <w:name w:val="Heading #2|1"/>
    <w:basedOn w:val="1"/>
    <w:link w:val="14"/>
    <w:qFormat/>
    <w:uiPriority w:val="0"/>
    <w:pPr>
      <w:widowControl w:val="0"/>
      <w:shd w:val="clear" w:color="auto" w:fill="auto"/>
      <w:spacing w:after="540" w:line="595" w:lineRule="exact"/>
      <w:jc w:val="center"/>
      <w:outlineLvl w:val="1"/>
    </w:pPr>
    <w:rPr>
      <w:rFonts w:ascii="宋体" w:hAnsi="宋体" w:eastAsia="宋体" w:cs="宋体"/>
      <w:sz w:val="42"/>
      <w:szCs w:val="42"/>
      <w:u w:val="none"/>
      <w:shd w:val="clear" w:color="auto" w:fill="auto"/>
      <w:lang w:val="zh-TW" w:eastAsia="zh-TW" w:bidi="zh-TW"/>
    </w:rPr>
  </w:style>
  <w:style w:type="character" w:customStyle="1" w:styleId="16">
    <w:name w:val="Header or footer|1_"/>
    <w:basedOn w:val="3"/>
    <w:link w:val="17"/>
    <w:qFormat/>
    <w:uiPriority w:val="0"/>
    <w:rPr>
      <w:rFonts w:ascii="宋体" w:hAnsi="宋体" w:eastAsia="宋体" w:cs="宋体"/>
      <w:sz w:val="30"/>
      <w:szCs w:val="30"/>
      <w:u w:val="none"/>
      <w:shd w:val="clear" w:color="auto" w:fill="auto"/>
    </w:rPr>
  </w:style>
  <w:style w:type="paragraph" w:customStyle="1" w:styleId="17">
    <w:name w:val="Header or footer|1"/>
    <w:basedOn w:val="1"/>
    <w:link w:val="16"/>
    <w:qFormat/>
    <w:uiPriority w:val="0"/>
    <w:pPr>
      <w:widowControl w:val="0"/>
      <w:shd w:val="clear" w:color="auto" w:fill="auto"/>
      <w:spacing w:line="600" w:lineRule="exact"/>
      <w:jc w:val="center"/>
    </w:pPr>
    <w:rPr>
      <w:rFonts w:ascii="宋体" w:hAnsi="宋体" w:eastAsia="宋体" w:cs="宋体"/>
      <w:sz w:val="30"/>
      <w:szCs w:val="30"/>
      <w:u w:val="none"/>
      <w:shd w:val="clear" w:color="auto" w:fill="auto"/>
    </w:rPr>
  </w:style>
  <w:style w:type="character" w:customStyle="1" w:styleId="18">
    <w:name w:val="Other|1_"/>
    <w:basedOn w:val="3"/>
    <w:link w:val="19"/>
    <w:qFormat/>
    <w:uiPriority w:val="0"/>
    <w:rPr>
      <w:rFonts w:ascii="宋体" w:hAnsi="宋体" w:eastAsia="宋体" w:cs="宋体"/>
      <w:sz w:val="30"/>
      <w:szCs w:val="30"/>
      <w:u w:val="none"/>
      <w:shd w:val="clear" w:color="auto" w:fill="auto"/>
      <w:lang w:val="zh-TW" w:eastAsia="zh-TW" w:bidi="zh-TW"/>
    </w:rPr>
  </w:style>
  <w:style w:type="paragraph" w:customStyle="1" w:styleId="19">
    <w:name w:val="Other|1"/>
    <w:basedOn w:val="1"/>
    <w:link w:val="18"/>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character" w:customStyle="1" w:styleId="20">
    <w:name w:val="Body text|2_"/>
    <w:basedOn w:val="3"/>
    <w:link w:val="21"/>
    <w:qFormat/>
    <w:uiPriority w:val="0"/>
    <w:rPr>
      <w:rFonts w:ascii="宋体" w:hAnsi="宋体" w:eastAsia="宋体" w:cs="宋体"/>
      <w:color w:val="E74437"/>
      <w:sz w:val="98"/>
      <w:szCs w:val="98"/>
      <w:u w:val="none"/>
      <w:shd w:val="clear" w:color="auto" w:fill="auto"/>
      <w:lang w:val="zh-TW" w:eastAsia="zh-TW" w:bidi="zh-TW"/>
    </w:rPr>
  </w:style>
  <w:style w:type="paragraph" w:customStyle="1" w:styleId="21">
    <w:name w:val="Body text|2"/>
    <w:basedOn w:val="1"/>
    <w:link w:val="20"/>
    <w:qFormat/>
    <w:uiPriority w:val="0"/>
    <w:pPr>
      <w:widowControl w:val="0"/>
      <w:shd w:val="clear" w:color="auto" w:fill="auto"/>
      <w:spacing w:after="70" w:line="1195" w:lineRule="exact"/>
    </w:pPr>
    <w:rPr>
      <w:rFonts w:ascii="宋体" w:hAnsi="宋体" w:eastAsia="宋体" w:cs="宋体"/>
      <w:color w:val="E74437"/>
      <w:sz w:val="98"/>
      <w:szCs w:val="98"/>
      <w:u w:val="none"/>
      <w:shd w:val="clear" w:color="auto" w:fill="auto"/>
      <w:lang w:val="zh-TW" w:eastAsia="zh-TW" w:bidi="zh-TW"/>
    </w:rPr>
  </w:style>
  <w:style w:type="character" w:customStyle="1" w:styleId="22">
    <w:name w:val="Body text|4_"/>
    <w:basedOn w:val="3"/>
    <w:link w:val="23"/>
    <w:qFormat/>
    <w:uiPriority w:val="0"/>
    <w:rPr>
      <w:sz w:val="22"/>
      <w:szCs w:val="22"/>
      <w:u w:val="none"/>
      <w:shd w:val="clear" w:color="auto" w:fill="auto"/>
      <w:lang w:val="zh-TW" w:eastAsia="zh-TW" w:bidi="zh-TW"/>
    </w:rPr>
  </w:style>
  <w:style w:type="paragraph" w:customStyle="1" w:styleId="23">
    <w:name w:val="Body text|4"/>
    <w:basedOn w:val="1"/>
    <w:link w:val="22"/>
    <w:qFormat/>
    <w:uiPriority w:val="0"/>
    <w:pPr>
      <w:widowControl w:val="0"/>
      <w:shd w:val="clear" w:color="auto" w:fill="auto"/>
    </w:pPr>
    <w:rPr>
      <w:sz w:val="22"/>
      <w:szCs w:val="22"/>
      <w:u w:val="none"/>
      <w:shd w:val="clear" w:color="auto" w:fill="auto"/>
      <w:lang w:val="zh-TW" w:eastAsia="zh-TW" w:bidi="zh-TW"/>
    </w:rPr>
  </w:style>
  <w:style w:type="character" w:customStyle="1" w:styleId="24">
    <w:name w:val="Body text|5_"/>
    <w:basedOn w:val="3"/>
    <w:link w:val="25"/>
    <w:qFormat/>
    <w:uiPriority w:val="0"/>
    <w:rPr>
      <w:rFonts w:ascii="宋体" w:hAnsi="宋体" w:eastAsia="宋体" w:cs="宋体"/>
      <w:sz w:val="26"/>
      <w:szCs w:val="26"/>
      <w:u w:val="none"/>
      <w:shd w:val="clear" w:color="auto" w:fill="auto"/>
      <w:lang w:val="zh-TW" w:eastAsia="zh-TW" w:bidi="zh-TW"/>
    </w:rPr>
  </w:style>
  <w:style w:type="paragraph" w:customStyle="1" w:styleId="25">
    <w:name w:val="Body text|5"/>
    <w:basedOn w:val="1"/>
    <w:link w:val="24"/>
    <w:qFormat/>
    <w:uiPriority w:val="0"/>
    <w:pPr>
      <w:widowControl w:val="0"/>
      <w:shd w:val="clear" w:color="auto" w:fill="auto"/>
      <w:ind w:firstLine="180"/>
    </w:pPr>
    <w:rPr>
      <w:rFonts w:ascii="宋体" w:hAnsi="宋体" w:eastAsia="宋体" w:cs="宋体"/>
      <w:sz w:val="26"/>
      <w:szCs w:val="26"/>
      <w:u w:val="none"/>
      <w:shd w:val="clear" w:color="auto" w:fill="auto"/>
      <w:lang w:val="zh-TW" w:eastAsia="zh-TW" w:bidi="zh-TW"/>
    </w:rPr>
  </w:style>
  <w:style w:type="character" w:customStyle="1" w:styleId="26">
    <w:name w:val="Heading #3|1_"/>
    <w:basedOn w:val="3"/>
    <w:link w:val="27"/>
    <w:qFormat/>
    <w:uiPriority w:val="0"/>
    <w:rPr>
      <w:rFonts w:ascii="宋体" w:hAnsi="宋体" w:eastAsia="宋体" w:cs="宋体"/>
      <w:b/>
      <w:bCs/>
      <w:sz w:val="30"/>
      <w:szCs w:val="30"/>
      <w:u w:val="none"/>
      <w:shd w:val="clear" w:color="auto" w:fill="auto"/>
      <w:lang w:val="zh-TW" w:eastAsia="zh-TW" w:bidi="zh-TW"/>
    </w:rPr>
  </w:style>
  <w:style w:type="paragraph" w:customStyle="1" w:styleId="27">
    <w:name w:val="Heading #3|1"/>
    <w:basedOn w:val="1"/>
    <w:link w:val="26"/>
    <w:qFormat/>
    <w:uiPriority w:val="0"/>
    <w:pPr>
      <w:widowControl w:val="0"/>
      <w:shd w:val="clear" w:color="auto" w:fill="auto"/>
      <w:spacing w:line="659" w:lineRule="exact"/>
      <w:ind w:firstLine="640"/>
      <w:outlineLvl w:val="2"/>
    </w:pPr>
    <w:rPr>
      <w:rFonts w:ascii="宋体" w:hAnsi="宋体" w:eastAsia="宋体" w:cs="宋体"/>
      <w:b/>
      <w:bCs/>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0" Type="http://schemas.openxmlformats.org/officeDocument/2006/relationships/fontTable" Target="fontTable.xml"/><Relationship Id="rId8" Type="http://schemas.openxmlformats.org/officeDocument/2006/relationships/footer" Target="footer4.xml"/><Relationship Id="rId79" Type="http://schemas.openxmlformats.org/officeDocument/2006/relationships/numbering" Target="numbering.xml"/><Relationship Id="rId78" Type="http://schemas.openxmlformats.org/officeDocument/2006/relationships/customXml" Target="../customXml/item1.xml"/><Relationship Id="rId77" Type="http://schemas.openxmlformats.org/officeDocument/2006/relationships/image" Target="media/image6.png"/><Relationship Id="rId76" Type="http://schemas.openxmlformats.org/officeDocument/2006/relationships/image" Target="media/image5.png"/><Relationship Id="rId75" Type="http://schemas.openxmlformats.org/officeDocument/2006/relationships/image" Target="media/image4.png"/><Relationship Id="rId74" Type="http://schemas.openxmlformats.org/officeDocument/2006/relationships/image" Target="media/image3.png"/><Relationship Id="rId73" Type="http://schemas.openxmlformats.org/officeDocument/2006/relationships/image" Target="media/image2.png"/><Relationship Id="rId72" Type="http://schemas.openxmlformats.org/officeDocument/2006/relationships/image" Target="media/image1.jpeg"/><Relationship Id="rId71" Type="http://schemas.openxmlformats.org/officeDocument/2006/relationships/theme" Target="theme/theme1.xml"/><Relationship Id="rId70" Type="http://schemas.openxmlformats.org/officeDocument/2006/relationships/footer" Target="footer44.xml"/><Relationship Id="rId7" Type="http://schemas.openxmlformats.org/officeDocument/2006/relationships/footer" Target="footer3.xml"/><Relationship Id="rId69" Type="http://schemas.openxmlformats.org/officeDocument/2006/relationships/footer" Target="footer43.xml"/><Relationship Id="rId68" Type="http://schemas.openxmlformats.org/officeDocument/2006/relationships/header" Target="header22.xml"/><Relationship Id="rId67" Type="http://schemas.openxmlformats.org/officeDocument/2006/relationships/header" Target="header21.xml"/><Relationship Id="rId66" Type="http://schemas.openxmlformats.org/officeDocument/2006/relationships/footer" Target="footer42.xml"/><Relationship Id="rId65" Type="http://schemas.openxmlformats.org/officeDocument/2006/relationships/footer" Target="footer41.xml"/><Relationship Id="rId64" Type="http://schemas.openxmlformats.org/officeDocument/2006/relationships/header" Target="header20.xml"/><Relationship Id="rId63" Type="http://schemas.openxmlformats.org/officeDocument/2006/relationships/header" Target="header19.xml"/><Relationship Id="rId62" Type="http://schemas.openxmlformats.org/officeDocument/2006/relationships/footer" Target="footer40.xml"/><Relationship Id="rId61" Type="http://schemas.openxmlformats.org/officeDocument/2006/relationships/footer" Target="footer39.xml"/><Relationship Id="rId60" Type="http://schemas.openxmlformats.org/officeDocument/2006/relationships/header" Target="header18.xml"/><Relationship Id="rId6" Type="http://schemas.openxmlformats.org/officeDocument/2006/relationships/footer" Target="footer2.xml"/><Relationship Id="rId59" Type="http://schemas.openxmlformats.org/officeDocument/2006/relationships/header" Target="header17.xml"/><Relationship Id="rId58" Type="http://schemas.openxmlformats.org/officeDocument/2006/relationships/footer" Target="footer38.xml"/><Relationship Id="rId57" Type="http://schemas.openxmlformats.org/officeDocument/2006/relationships/footer" Target="footer37.xml"/><Relationship Id="rId56" Type="http://schemas.openxmlformats.org/officeDocument/2006/relationships/footer" Target="footer36.xml"/><Relationship Id="rId55" Type="http://schemas.openxmlformats.org/officeDocument/2006/relationships/header" Target="header16.xml"/><Relationship Id="rId54" Type="http://schemas.openxmlformats.org/officeDocument/2006/relationships/header" Target="header15.xml"/><Relationship Id="rId53" Type="http://schemas.openxmlformats.org/officeDocument/2006/relationships/header" Target="header14.xml"/><Relationship Id="rId52" Type="http://schemas.openxmlformats.org/officeDocument/2006/relationships/footer" Target="footer35.xml"/><Relationship Id="rId51" Type="http://schemas.openxmlformats.org/officeDocument/2006/relationships/footer" Target="footer34.xml"/><Relationship Id="rId50" Type="http://schemas.openxmlformats.org/officeDocument/2006/relationships/footer" Target="footer33.xml"/><Relationship Id="rId5" Type="http://schemas.openxmlformats.org/officeDocument/2006/relationships/footer" Target="footer1.xml"/><Relationship Id="rId49" Type="http://schemas.openxmlformats.org/officeDocument/2006/relationships/header" Target="header13.xml"/><Relationship Id="rId48" Type="http://schemas.openxmlformats.org/officeDocument/2006/relationships/header" Target="header12.xml"/><Relationship Id="rId47" Type="http://schemas.openxmlformats.org/officeDocument/2006/relationships/header" Target="header11.xml"/><Relationship Id="rId46" Type="http://schemas.openxmlformats.org/officeDocument/2006/relationships/footer" Target="footer32.xml"/><Relationship Id="rId45" Type="http://schemas.openxmlformats.org/officeDocument/2006/relationships/footer" Target="footer31.xml"/><Relationship Id="rId44" Type="http://schemas.openxmlformats.org/officeDocument/2006/relationships/header" Target="header10.xml"/><Relationship Id="rId43" Type="http://schemas.openxmlformats.org/officeDocument/2006/relationships/header" Target="header9.xml"/><Relationship Id="rId42" Type="http://schemas.openxmlformats.org/officeDocument/2006/relationships/footer" Target="footer30.xml"/><Relationship Id="rId41" Type="http://schemas.openxmlformats.org/officeDocument/2006/relationships/footer" Target="footer29.xml"/><Relationship Id="rId40" Type="http://schemas.openxmlformats.org/officeDocument/2006/relationships/header" Target="header8.xml"/><Relationship Id="rId4" Type="http://schemas.openxmlformats.org/officeDocument/2006/relationships/endnotes" Target="endnotes.xml"/><Relationship Id="rId39" Type="http://schemas.openxmlformats.org/officeDocument/2006/relationships/header" Target="header7.xml"/><Relationship Id="rId38" Type="http://schemas.openxmlformats.org/officeDocument/2006/relationships/footer" Target="footer28.xml"/><Relationship Id="rId37" Type="http://schemas.openxmlformats.org/officeDocument/2006/relationships/footer" Target="footer27.xml"/><Relationship Id="rId36" Type="http://schemas.openxmlformats.org/officeDocument/2006/relationships/header" Target="header6.xml"/><Relationship Id="rId35" Type="http://schemas.openxmlformats.org/officeDocument/2006/relationships/header" Target="header5.xml"/><Relationship Id="rId34" Type="http://schemas.openxmlformats.org/officeDocument/2006/relationships/footer" Target="footer26.xml"/><Relationship Id="rId33" Type="http://schemas.openxmlformats.org/officeDocument/2006/relationships/footer" Target="footer25.xml"/><Relationship Id="rId32" Type="http://schemas.openxmlformats.org/officeDocument/2006/relationships/header" Target="header4.xml"/><Relationship Id="rId31" Type="http://schemas.openxmlformats.org/officeDocument/2006/relationships/header" Target="header3.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header" Target="header2.xml"/><Relationship Id="rId27" Type="http://schemas.openxmlformats.org/officeDocument/2006/relationships/header" Target="header1.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52</Pages>
  <Words>14317</Words>
  <Characters>15059</Characters>
  <TotalTime>8</TotalTime>
  <ScaleCrop>false</ScaleCrop>
  <LinksUpToDate>false</LinksUpToDate>
  <CharactersWithSpaces>15523</CharactersWithSpaces>
  <Application>WPS Office_11.8.2.10458_F1E327BC-269C-435d-A152-05C5408002CA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2023-06-13T11:03:00Z</dcterms:created>
  <dc:creator>lenovo</dc:creator>
  <cp:lastModifiedBy>inspur</cp:lastModifiedBy>
  <dcterms:modified xsi:type="dcterms:W3CDTF">2024-04-02T10:36:05Z</dcterms:modified>
  <dc:title>关于印发进一步推进城乡居民基本医疗保险保障待遇统一的指导意见的通知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4300975A37A64B1EB7C101294B6DB51E_12</vt:lpwstr>
  </property>
</Properties>
</file>