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隶书" w:hAnsi="隶书" w:eastAsia="隶书" w:cs="隶书"/>
          <w:sz w:val="44"/>
          <w:szCs w:val="44"/>
          <w:lang w:val="en-US" w:eastAsia="zh-CN"/>
        </w:rPr>
      </w:pPr>
      <w:r>
        <w:rPr>
          <w:rFonts w:hint="eastAsia" w:ascii="隶书" w:hAnsi="隶书" w:eastAsia="隶书" w:cs="隶书"/>
          <w:sz w:val="44"/>
          <w:szCs w:val="44"/>
          <w:lang w:val="en-US" w:eastAsia="zh-CN"/>
        </w:rPr>
        <w:t>龙潭区教育局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华文仿宋" w:hAnsi="华文仿宋" w:eastAsia="华文仿宋" w:cs="华文仿宋"/>
          <w:sz w:val="44"/>
          <w:szCs w:val="44"/>
          <w:lang w:val="en-US" w:eastAsia="zh-CN"/>
        </w:rPr>
      </w:pPr>
      <w:r>
        <w:rPr>
          <w:rFonts w:hint="eastAsia" w:ascii="隶书" w:hAnsi="隶书" w:eastAsia="隶书" w:cs="隶书"/>
          <w:sz w:val="44"/>
          <w:szCs w:val="44"/>
          <w:lang w:val="en-US" w:eastAsia="zh-CN"/>
        </w:rPr>
        <w:t>2021年政府信息公开工作年度报告</w:t>
      </w:r>
    </w:p>
    <w:p>
      <w:pPr>
        <w:jc w:val="center"/>
        <w:rPr>
          <w:rFonts w:hint="eastAsia" w:ascii="华文仿宋" w:hAnsi="华文仿宋" w:eastAsia="华文仿宋" w:cs="华文仿宋"/>
          <w:i w:val="0"/>
          <w:caps w:val="0"/>
          <w:color w:val="333333"/>
          <w:spacing w:val="0"/>
          <w:sz w:val="32"/>
          <w:szCs w:val="32"/>
          <w:shd w:val="clear" w:color="auto" w:fill="FFFFFF"/>
          <w:lang w:val="en-US" w:eastAsia="zh-CN"/>
        </w:rPr>
      </w:pPr>
    </w:p>
    <w:p>
      <w:pPr>
        <w:keepNext w:val="0"/>
        <w:keepLines w:val="0"/>
        <w:pageBreakBefore w:val="0"/>
        <w:kinsoku/>
        <w:overflowPunct/>
        <w:topLinePunct w:val="0"/>
        <w:autoSpaceDN/>
        <w:bidi w:val="0"/>
        <w:adjustRightInd w:val="0"/>
        <w:snapToGrid w:val="0"/>
        <w:spacing w:line="360" w:lineRule="auto"/>
        <w:ind w:firstLine="480" w:firstLineChars="200"/>
        <w:jc w:val="center"/>
        <w:textAlignment w:val="auto"/>
        <w:rPr>
          <w:rFonts w:hint="eastAsia" w:asciiTheme="minorEastAsia" w:hAnsiTheme="minorEastAsia" w:eastAsiaTheme="minorEastAsia" w:cstheme="minorEastAsia"/>
          <w:i w:val="0"/>
          <w:caps w:val="0"/>
          <w:color w:val="333333"/>
          <w:spacing w:val="0"/>
          <w:sz w:val="24"/>
          <w:szCs w:val="24"/>
          <w:shd w:val="clear" w:color="auto" w:fill="FFFFFF"/>
          <w:lang w:val="en-US" w:eastAsia="zh-CN"/>
        </w:rPr>
      </w:pPr>
      <w:r>
        <w:rPr>
          <w:rFonts w:hint="eastAsia" w:asciiTheme="minorEastAsia" w:hAnsiTheme="minorEastAsia" w:eastAsiaTheme="minorEastAsia" w:cstheme="minorEastAsia"/>
          <w:i w:val="0"/>
          <w:caps w:val="0"/>
          <w:color w:val="333333"/>
          <w:spacing w:val="0"/>
          <w:sz w:val="24"/>
          <w:szCs w:val="24"/>
          <w:shd w:val="clear" w:color="auto" w:fill="FFFFFF"/>
          <w:lang w:val="en-US" w:eastAsia="zh-CN"/>
        </w:rPr>
        <w:t>2022年1月</w:t>
      </w:r>
      <w:r>
        <w:rPr>
          <w:rFonts w:hint="eastAsia" w:asciiTheme="minorEastAsia" w:hAnsiTheme="minorEastAsia" w:cstheme="minorEastAsia"/>
          <w:i w:val="0"/>
          <w:caps w:val="0"/>
          <w:color w:val="333333"/>
          <w:spacing w:val="0"/>
          <w:sz w:val="24"/>
          <w:szCs w:val="24"/>
          <w:shd w:val="clear" w:color="auto" w:fill="FFFFFF"/>
          <w:lang w:val="en-US" w:eastAsia="zh-CN"/>
        </w:rPr>
        <w:t>6</w:t>
      </w:r>
      <w:r>
        <w:rPr>
          <w:rFonts w:hint="eastAsia" w:asciiTheme="minorEastAsia" w:hAnsiTheme="minorEastAsia" w:eastAsiaTheme="minorEastAsia" w:cstheme="minorEastAsia"/>
          <w:i w:val="0"/>
          <w:caps w:val="0"/>
          <w:color w:val="333333"/>
          <w:spacing w:val="0"/>
          <w:sz w:val="24"/>
          <w:szCs w:val="24"/>
          <w:shd w:val="clear" w:color="auto" w:fill="FFFFFF"/>
          <w:lang w:val="en-US" w:eastAsia="zh-CN"/>
        </w:rPr>
        <w:t>日</w:t>
      </w:r>
    </w:p>
    <w:p>
      <w:pPr>
        <w:keepNext w:val="0"/>
        <w:keepLines w:val="0"/>
        <w:pageBreakBefore w:val="0"/>
        <w:kinsoku/>
        <w:overflowPunct/>
        <w:topLinePunct w:val="0"/>
        <w:autoSpaceDN/>
        <w:bidi w:val="0"/>
        <w:adjustRightInd w:val="0"/>
        <w:snapToGrid w:val="0"/>
        <w:spacing w:line="360" w:lineRule="auto"/>
        <w:ind w:firstLine="480" w:firstLineChars="200"/>
        <w:textAlignment w:val="auto"/>
        <w:rPr>
          <w:rFonts w:hint="eastAsia" w:asciiTheme="minorEastAsia" w:hAnsiTheme="minorEastAsia" w:eastAsiaTheme="minorEastAsia" w:cstheme="minorEastAsia"/>
          <w:b w:val="0"/>
          <w:color w:val="333333"/>
          <w:kern w:val="0"/>
          <w:sz w:val="24"/>
          <w:szCs w:val="24"/>
          <w:shd w:val="clear" w:fill="FFFFFF"/>
          <w:lang w:val="en-US" w:eastAsia="zh-CN" w:bidi="ar"/>
        </w:rPr>
      </w:pPr>
      <w:r>
        <w:rPr>
          <w:rFonts w:hint="eastAsia" w:asciiTheme="minorEastAsia" w:hAnsiTheme="minorEastAsia" w:eastAsiaTheme="minorEastAsia" w:cstheme="minorEastAsia"/>
          <w:color w:val="555555"/>
          <w:kern w:val="0"/>
          <w:sz w:val="24"/>
          <w:szCs w:val="24"/>
          <w:shd w:val="clear" w:fill="FFFFFF"/>
          <w:lang w:val="en-US" w:eastAsia="zh-CN" w:bidi="ar"/>
        </w:rPr>
        <w:t>为深入贯彻落实《中华人民共和国政府信息公开条例》(国 务院令第711号,以下简称《条例》) ,抓好政府信息管理、摸清 政府信息底数,充分发挥政府信息公开制度功能和作用,按照国务院办公厅政府信息与政务公开办公室新修订的《中华人民共和国政府信息公开工作年度报告格式》(国办公开办函〔2021〕 30 号) 要求,结合我局实际,编制本年度我局政府信息公开工作报告，本报告主要由总体情况、主动公开政府信息情况、收到和处理政府信息公开申请情况、政府信息公开行政复议、行政诉讼情况、存在的主要问题及改进情况、其他需要报告的事项等六部分组成。本报告中所列数据的统计期限自2021年1月1日起至2021年12月31日止。</w:t>
      </w:r>
      <w:r>
        <w:rPr>
          <w:rFonts w:hint="eastAsia" w:asciiTheme="minorEastAsia" w:hAnsiTheme="minorEastAsia" w:eastAsiaTheme="minorEastAsia" w:cstheme="minorEastAsia"/>
          <w:b w:val="0"/>
          <w:bCs/>
          <w:i w:val="0"/>
          <w:caps w:val="0"/>
          <w:color w:val="333333"/>
          <w:spacing w:val="0"/>
          <w:sz w:val="24"/>
          <w:szCs w:val="24"/>
          <w:shd w:val="clear" w:color="auto" w:fill="FFFFFF"/>
        </w:rPr>
        <w:t>本年报通过</w:t>
      </w:r>
      <w:r>
        <w:rPr>
          <w:rFonts w:hint="eastAsia" w:asciiTheme="minorEastAsia" w:hAnsiTheme="minorEastAsia" w:eastAsiaTheme="minorEastAsia" w:cstheme="minorEastAsia"/>
          <w:b w:val="0"/>
          <w:bCs/>
          <w:i w:val="0"/>
          <w:caps w:val="0"/>
          <w:color w:val="333333"/>
          <w:spacing w:val="0"/>
          <w:sz w:val="24"/>
          <w:szCs w:val="24"/>
          <w:shd w:val="clear" w:color="auto" w:fill="FFFFFF"/>
          <w:lang w:val="en-US" w:eastAsia="zh-CN"/>
        </w:rPr>
        <w:t>吉林市龙潭区</w:t>
      </w:r>
      <w:r>
        <w:rPr>
          <w:rFonts w:hint="eastAsia" w:asciiTheme="minorEastAsia" w:hAnsiTheme="minorEastAsia" w:eastAsiaTheme="minorEastAsia" w:cstheme="minorEastAsia"/>
          <w:b w:val="0"/>
          <w:bCs/>
          <w:i w:val="0"/>
          <w:caps w:val="0"/>
          <w:color w:val="333333"/>
          <w:spacing w:val="0"/>
          <w:sz w:val="24"/>
          <w:szCs w:val="24"/>
          <w:shd w:val="clear" w:color="auto" w:fill="FFFFFF"/>
        </w:rPr>
        <w:t>人民政府网</w:t>
      </w:r>
      <w:r>
        <w:rPr>
          <w:rFonts w:hint="eastAsia" w:asciiTheme="minorEastAsia" w:hAnsiTheme="minorEastAsia" w:eastAsiaTheme="minorEastAsia" w:cstheme="minorEastAsia"/>
          <w:b w:val="0"/>
          <w:bCs/>
          <w:i w:val="0"/>
          <w:caps w:val="0"/>
          <w:color w:val="333333"/>
          <w:spacing w:val="0"/>
          <w:sz w:val="24"/>
          <w:szCs w:val="24"/>
          <w:shd w:val="clear" w:color="auto" w:fill="FFFFFF"/>
          <w:lang w:eastAsia="zh-CN"/>
        </w:rPr>
        <w:t>站——</w:t>
      </w:r>
      <w:r>
        <w:rPr>
          <w:rFonts w:hint="eastAsia" w:asciiTheme="minorEastAsia" w:hAnsiTheme="minorEastAsia" w:eastAsiaTheme="minorEastAsia" w:cstheme="minorEastAsia"/>
          <w:b w:val="0"/>
          <w:bCs/>
          <w:i w:val="0"/>
          <w:caps w:val="0"/>
          <w:color w:val="333333"/>
          <w:spacing w:val="0"/>
          <w:sz w:val="24"/>
          <w:szCs w:val="24"/>
          <w:shd w:val="clear" w:color="auto" w:fill="FFFFFF"/>
        </w:rPr>
        <w:t>政府信息公开专栏向社会公开（</w:t>
      </w:r>
      <w:r>
        <w:rPr>
          <w:rFonts w:hint="eastAsia" w:asciiTheme="minorEastAsia" w:hAnsiTheme="minorEastAsia" w:eastAsiaTheme="minorEastAsia" w:cstheme="minorEastAsia"/>
          <w:b w:val="0"/>
          <w:bCs/>
          <w:i w:val="0"/>
          <w:caps w:val="0"/>
          <w:color w:val="333333"/>
          <w:spacing w:val="0"/>
          <w:sz w:val="24"/>
          <w:szCs w:val="24"/>
          <w:shd w:val="clear" w:color="auto" w:fill="FFFFFF"/>
          <w:lang w:eastAsia="zh-CN"/>
        </w:rPr>
        <w:t>网址：</w:t>
      </w:r>
      <w:r>
        <w:rPr>
          <w:rFonts w:hint="eastAsia" w:asciiTheme="minorEastAsia" w:hAnsiTheme="minorEastAsia" w:eastAsiaTheme="minorEastAsia" w:cstheme="minorEastAsia"/>
          <w:b w:val="0"/>
          <w:bCs/>
          <w:i w:val="0"/>
          <w:caps w:val="0"/>
          <w:color w:val="333333"/>
          <w:spacing w:val="0"/>
          <w:sz w:val="24"/>
          <w:szCs w:val="24"/>
          <w:shd w:val="clear" w:color="auto" w:fill="FFFFFF"/>
        </w:rPr>
        <w:t>http://www.longtan.gov.cn/）。欢迎社会各界进行监督、提出意见，欢迎广大机关、企事业单位、科研院所和人民群众参阅使用。如对本年报有疑问、意见和建议，请联系</w:t>
      </w:r>
      <w:r>
        <w:rPr>
          <w:rFonts w:hint="eastAsia" w:asciiTheme="minorEastAsia" w:hAnsiTheme="minorEastAsia" w:eastAsiaTheme="minorEastAsia" w:cstheme="minorEastAsia"/>
          <w:b w:val="0"/>
          <w:bCs/>
          <w:i w:val="0"/>
          <w:caps w:val="0"/>
          <w:color w:val="333333"/>
          <w:spacing w:val="0"/>
          <w:sz w:val="24"/>
          <w:szCs w:val="24"/>
          <w:shd w:val="clear" w:color="auto" w:fill="FFFFFF"/>
          <w:lang w:val="en-US" w:eastAsia="zh-CN"/>
        </w:rPr>
        <w:t>吉林市龙潭区教育局</w:t>
      </w:r>
      <w:r>
        <w:rPr>
          <w:rFonts w:hint="eastAsia" w:asciiTheme="minorEastAsia" w:hAnsiTheme="minorEastAsia" w:eastAsiaTheme="minorEastAsia" w:cstheme="minorEastAsia"/>
          <w:b w:val="0"/>
          <w:bCs/>
          <w:i w:val="0"/>
          <w:caps w:val="0"/>
          <w:color w:val="333333"/>
          <w:spacing w:val="0"/>
          <w:sz w:val="24"/>
          <w:szCs w:val="24"/>
          <w:shd w:val="clear" w:color="auto" w:fill="FFFFFF"/>
        </w:rPr>
        <w:t>，地址：</w:t>
      </w:r>
      <w:r>
        <w:rPr>
          <w:rFonts w:hint="eastAsia" w:asciiTheme="minorEastAsia" w:hAnsiTheme="minorEastAsia" w:eastAsiaTheme="minorEastAsia" w:cstheme="minorEastAsia"/>
          <w:b w:val="0"/>
          <w:bCs/>
          <w:i w:val="0"/>
          <w:caps w:val="0"/>
          <w:color w:val="333333"/>
          <w:spacing w:val="0"/>
          <w:sz w:val="24"/>
          <w:szCs w:val="24"/>
          <w:shd w:val="clear" w:color="auto" w:fill="FFFFFF"/>
          <w:lang w:val="en-US" w:eastAsia="zh-CN"/>
        </w:rPr>
        <w:t>吉林市龙潭区遵义东路65号</w:t>
      </w:r>
      <w:r>
        <w:rPr>
          <w:rFonts w:hint="eastAsia" w:asciiTheme="minorEastAsia" w:hAnsiTheme="minorEastAsia" w:eastAsiaTheme="minorEastAsia" w:cstheme="minorEastAsia"/>
          <w:b w:val="0"/>
          <w:bCs/>
          <w:i w:val="0"/>
          <w:caps w:val="0"/>
          <w:color w:val="333333"/>
          <w:spacing w:val="0"/>
          <w:sz w:val="24"/>
          <w:szCs w:val="24"/>
          <w:shd w:val="clear" w:color="auto" w:fill="FFFFFF"/>
        </w:rPr>
        <w:t>，邮编：</w:t>
      </w:r>
      <w:r>
        <w:rPr>
          <w:rFonts w:hint="eastAsia" w:asciiTheme="minorEastAsia" w:hAnsiTheme="minorEastAsia" w:eastAsiaTheme="minorEastAsia" w:cstheme="minorEastAsia"/>
          <w:b w:val="0"/>
          <w:bCs/>
          <w:i w:val="0"/>
          <w:caps w:val="0"/>
          <w:color w:val="333333"/>
          <w:spacing w:val="0"/>
          <w:sz w:val="24"/>
          <w:szCs w:val="24"/>
          <w:shd w:val="clear" w:color="auto" w:fill="FFFFFF"/>
          <w:lang w:val="en-US" w:eastAsia="zh-CN"/>
        </w:rPr>
        <w:t>132002</w:t>
      </w:r>
      <w:r>
        <w:rPr>
          <w:rFonts w:hint="eastAsia" w:asciiTheme="minorEastAsia" w:hAnsiTheme="minorEastAsia" w:eastAsiaTheme="minorEastAsia" w:cstheme="minorEastAsia"/>
          <w:b w:val="0"/>
          <w:bCs/>
          <w:i w:val="0"/>
          <w:caps w:val="0"/>
          <w:color w:val="333333"/>
          <w:spacing w:val="0"/>
          <w:sz w:val="24"/>
          <w:szCs w:val="24"/>
          <w:shd w:val="clear" w:color="auto" w:fill="FFFFFF"/>
        </w:rPr>
        <w:t>，电话：0432-</w:t>
      </w:r>
      <w:r>
        <w:rPr>
          <w:rFonts w:hint="eastAsia" w:asciiTheme="minorEastAsia" w:hAnsiTheme="minorEastAsia" w:eastAsiaTheme="minorEastAsia" w:cstheme="minorEastAsia"/>
          <w:b w:val="0"/>
          <w:bCs/>
          <w:i w:val="0"/>
          <w:caps w:val="0"/>
          <w:color w:val="333333"/>
          <w:spacing w:val="0"/>
          <w:sz w:val="24"/>
          <w:szCs w:val="24"/>
          <w:shd w:val="clear" w:color="auto" w:fill="FFFFFF"/>
          <w:lang w:val="en-US" w:eastAsia="zh-CN"/>
        </w:rPr>
        <w:t>63039510</w:t>
      </w:r>
      <w:r>
        <w:rPr>
          <w:rFonts w:hint="eastAsia" w:asciiTheme="minorEastAsia" w:hAnsiTheme="minorEastAsia" w:eastAsiaTheme="minorEastAsia" w:cstheme="minorEastAsia"/>
          <w:b w:val="0"/>
          <w:bCs/>
          <w:i w:val="0"/>
          <w:caps w:val="0"/>
          <w:color w:val="333333"/>
          <w:spacing w:val="0"/>
          <w:sz w:val="24"/>
          <w:szCs w:val="24"/>
          <w:shd w:val="clear" w:color="auto" w:fill="FFFFFF"/>
        </w:rPr>
        <w:t>，邮箱：</w:t>
      </w:r>
      <w:r>
        <w:rPr>
          <w:rFonts w:hint="eastAsia" w:asciiTheme="minorEastAsia" w:hAnsiTheme="minorEastAsia" w:eastAsiaTheme="minorEastAsia" w:cstheme="minorEastAsia"/>
          <w:b w:val="0"/>
          <w:bCs/>
          <w:i w:val="0"/>
          <w:caps w:val="0"/>
          <w:color w:val="333333"/>
          <w:spacing w:val="0"/>
          <w:sz w:val="24"/>
          <w:szCs w:val="24"/>
          <w:shd w:val="clear" w:color="auto" w:fill="FFFFFF"/>
          <w:lang w:val="en-US" w:eastAsia="zh-CN"/>
        </w:rPr>
        <w:t>ltedu-bgs@163.com</w:t>
      </w:r>
      <w:r>
        <w:rPr>
          <w:rFonts w:hint="eastAsia" w:asciiTheme="minorEastAsia" w:hAnsiTheme="minorEastAsia" w:eastAsiaTheme="minorEastAsia" w:cstheme="minorEastAsia"/>
          <w:b w:val="0"/>
          <w:bCs/>
          <w:i w:val="0"/>
          <w:caps w:val="0"/>
          <w:color w:val="333333"/>
          <w:spacing w:val="0"/>
          <w:sz w:val="24"/>
          <w:szCs w:val="24"/>
          <w:shd w:val="clear" w:color="auto" w:fill="FFFFFF"/>
        </w:rPr>
        <w:t>。</w:t>
      </w:r>
    </w:p>
    <w:p>
      <w:pPr>
        <w:keepNext w:val="0"/>
        <w:keepLines w:val="0"/>
        <w:pageBreakBefore w:val="0"/>
        <w:widowControl/>
        <w:suppressLineNumbers w:val="0"/>
        <w:shd w:val="clear" w:fill="FFFFFF"/>
        <w:kinsoku/>
        <w:wordWrap w:val="0"/>
        <w:overflowPunct/>
        <w:topLinePunct w:val="0"/>
        <w:autoSpaceDE w:val="0"/>
        <w:autoSpaceDN/>
        <w:bidi w:val="0"/>
        <w:adjustRightInd w:val="0"/>
        <w:snapToGrid w:val="0"/>
        <w:spacing w:before="0" w:beforeAutospacing="0" w:after="0" w:afterAutospacing="0" w:line="360" w:lineRule="auto"/>
        <w:ind w:left="0" w:right="0" w:firstLine="482"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bCs/>
          <w:color w:val="333333"/>
          <w:kern w:val="0"/>
          <w:sz w:val="24"/>
          <w:szCs w:val="24"/>
          <w:shd w:val="clear" w:fill="FFFFFF"/>
          <w:lang w:val="en-US" w:eastAsia="zh-CN" w:bidi="ar"/>
        </w:rPr>
        <w:t>一、总体情况</w:t>
      </w:r>
    </w:p>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kern w:val="0"/>
          <w:sz w:val="24"/>
          <w:szCs w:val="24"/>
          <w:shd w:val="clear" w:fill="FFFFFF"/>
          <w:lang w:val="en-US" w:eastAsia="zh-CN" w:bidi="ar"/>
        </w:rPr>
        <w:t>2021年，根据新修订的《中华人民共和国政府信息公开条例》，我局认真组织学习新条例内容，严格落实政府信息公开工作要求，保障公民、法人和其他组织依法获取政府信息，提高政府工作的透明度，紧紧围绕打造龙潭区幸福教育，努力办好人民满意的教育的工作总体要求，充分发挥政府信息对人民群众生产、生活和经济社会活动的服务作用，主要工作如下。</w:t>
      </w:r>
    </w:p>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color w:val="555555"/>
          <w:kern w:val="0"/>
          <w:sz w:val="24"/>
          <w:szCs w:val="24"/>
          <w:shd w:val="clear" w:fill="FFFFFF"/>
          <w:lang w:val="en-US" w:eastAsia="zh-CN" w:bidi="ar"/>
        </w:rPr>
      </w:pPr>
      <w:r>
        <w:rPr>
          <w:rFonts w:hint="eastAsia" w:asciiTheme="minorEastAsia" w:hAnsiTheme="minorEastAsia" w:eastAsiaTheme="minorEastAsia" w:cstheme="minorEastAsia"/>
          <w:color w:val="555555"/>
          <w:kern w:val="0"/>
          <w:sz w:val="24"/>
          <w:szCs w:val="24"/>
          <w:shd w:val="clear" w:fill="FFFFFF"/>
          <w:lang w:val="en-US" w:eastAsia="zh-CN" w:bidi="ar"/>
        </w:rPr>
        <w:t>一是推进重点领域政策落实公开。坚持以公开透明为基本原则，保障人民群众知情权、参与权和监督权，对幼儿园、中小学招生信息和</w:t>
      </w:r>
      <w:r>
        <w:rPr>
          <w:rFonts w:hint="eastAsia" w:asciiTheme="minorEastAsia" w:hAnsiTheme="minorEastAsia" w:cstheme="minorEastAsia"/>
          <w:color w:val="555555"/>
          <w:kern w:val="0"/>
          <w:sz w:val="24"/>
          <w:szCs w:val="24"/>
          <w:shd w:val="clear" w:fill="FFFFFF"/>
          <w:lang w:val="en-US" w:eastAsia="zh-CN" w:bidi="ar"/>
        </w:rPr>
        <w:t>行政许可、</w:t>
      </w:r>
      <w:r>
        <w:rPr>
          <w:rFonts w:hint="eastAsia" w:asciiTheme="minorEastAsia" w:hAnsiTheme="minorEastAsia" w:eastAsiaTheme="minorEastAsia" w:cstheme="minorEastAsia"/>
          <w:color w:val="555555"/>
          <w:kern w:val="0"/>
          <w:sz w:val="24"/>
          <w:szCs w:val="24"/>
          <w:shd w:val="clear" w:fill="FFFFFF"/>
          <w:lang w:val="en-US" w:eastAsia="zh-CN" w:bidi="ar"/>
        </w:rPr>
        <w:t>行政处罚、重大项目信息主动公开，扩大公开范围，细化公开内容，提高公开的质量和实效。</w:t>
      </w:r>
    </w:p>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360" w:lineRule="auto"/>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kern w:val="0"/>
          <w:sz w:val="24"/>
          <w:szCs w:val="24"/>
          <w:shd w:val="clear" w:fill="FFFFFF"/>
          <w:lang w:val="en-US" w:eastAsia="zh-CN" w:bidi="ar"/>
        </w:rPr>
        <w:t>二是进一步提升公开质量。</w:t>
      </w:r>
      <w:r>
        <w:rPr>
          <w:rFonts w:hint="eastAsia" w:asciiTheme="minorEastAsia" w:hAnsiTheme="minorEastAsia" w:eastAsiaTheme="minorEastAsia" w:cstheme="minorEastAsia"/>
          <w:color w:val="000000"/>
          <w:kern w:val="0"/>
          <w:sz w:val="24"/>
          <w:szCs w:val="24"/>
          <w:shd w:val="clear" w:fill="FFFFFF"/>
          <w:lang w:val="en-US" w:eastAsia="zh-CN" w:bidi="ar"/>
        </w:rPr>
        <w:t>建立健全信息公开的制度和机制，全面加强信息公开工作。健全信息发布三审制度和信息公开保密审查制度等信息公开工作机制，严格落实信息公开属性源头认定制度，坚持依法依规做好信息公开工作；加大政策解读回应力度，针对涉及面广、社会关注度高的重要政策，主动向社会进行公开、解读；积极与区信访局互联对接，对于群众反映的热点、难点舆情问题，做到快速处置，提升人性化服务水平。</w:t>
      </w:r>
    </w:p>
    <w:p>
      <w:pPr>
        <w:keepNext w:val="0"/>
        <w:keepLines w:val="0"/>
        <w:pageBreakBefore w:val="0"/>
        <w:widowControl/>
        <w:suppressLineNumbers w:val="0"/>
        <w:kinsoku/>
        <w:wordWrap w:val="0"/>
        <w:overflowPunct/>
        <w:topLinePunct w:val="0"/>
        <w:autoSpaceDN/>
        <w:bidi w:val="0"/>
        <w:adjustRightInd w:val="0"/>
        <w:snapToGrid w:val="0"/>
        <w:spacing w:before="0" w:beforeAutospacing="0" w:after="0" w:afterAutospacing="0" w:line="360" w:lineRule="auto"/>
        <w:ind w:left="0" w:right="0" w:firstLine="480" w:firstLineChars="200"/>
        <w:jc w:val="left"/>
        <w:textAlignment w:val="auto"/>
        <w:rPr>
          <w:rFonts w:hint="default" w:asciiTheme="minorEastAsia" w:hAnsiTheme="minorEastAsia" w:eastAsiaTheme="minorEastAsia" w:cstheme="minorEastAsia"/>
          <w:color w:val="000000"/>
          <w:kern w:val="0"/>
          <w:sz w:val="24"/>
          <w:szCs w:val="24"/>
          <w:shd w:val="clear" w:fill="FFFFFF"/>
          <w:lang w:val="en-US" w:eastAsia="zh-CN" w:bidi="ar"/>
        </w:rPr>
      </w:pPr>
      <w:r>
        <w:rPr>
          <w:rFonts w:hint="eastAsia" w:asciiTheme="minorEastAsia" w:hAnsiTheme="minorEastAsia" w:eastAsiaTheme="minorEastAsia" w:cstheme="minorEastAsia"/>
          <w:color w:val="000000"/>
          <w:kern w:val="0"/>
          <w:sz w:val="24"/>
          <w:szCs w:val="24"/>
          <w:shd w:val="clear" w:fill="FFFFFF"/>
          <w:lang w:val="en-US" w:eastAsia="zh-CN" w:bidi="ar"/>
        </w:rPr>
        <w:t>三是进一步优化服务功能。在区政府网站上，将本部门权责清单在“行政权力清单”下进行集中公开，并通过权责清单系统进行管理。本年度我局在区政府网站主动公开政府信息</w:t>
      </w:r>
      <w:r>
        <w:rPr>
          <w:rFonts w:hint="eastAsia" w:asciiTheme="minorEastAsia" w:hAnsiTheme="minorEastAsia" w:cstheme="minorEastAsia"/>
          <w:color w:val="000000"/>
          <w:kern w:val="0"/>
          <w:sz w:val="24"/>
          <w:szCs w:val="24"/>
          <w:shd w:val="clear" w:fill="FFFFFF"/>
          <w:lang w:val="en-US" w:eastAsia="zh-CN" w:bidi="ar"/>
        </w:rPr>
        <w:t>50</w:t>
      </w:r>
      <w:r>
        <w:rPr>
          <w:rFonts w:hint="eastAsia" w:asciiTheme="minorEastAsia" w:hAnsiTheme="minorEastAsia" w:eastAsiaTheme="minorEastAsia" w:cstheme="minorEastAsia"/>
          <w:color w:val="000000"/>
          <w:kern w:val="0"/>
          <w:sz w:val="24"/>
          <w:szCs w:val="24"/>
          <w:shd w:val="clear" w:fill="FFFFFF"/>
          <w:lang w:val="en-US" w:eastAsia="zh-CN" w:bidi="ar"/>
        </w:rPr>
        <w:t>条，其中</w:t>
      </w:r>
      <w:r>
        <w:rPr>
          <w:rFonts w:hint="eastAsia" w:asciiTheme="minorEastAsia" w:hAnsiTheme="minorEastAsia" w:cstheme="minorEastAsia"/>
          <w:color w:val="000000"/>
          <w:kern w:val="0"/>
          <w:sz w:val="24"/>
          <w:szCs w:val="24"/>
          <w:shd w:val="clear" w:fill="FFFFFF"/>
          <w:lang w:val="en-US" w:eastAsia="zh-CN" w:bidi="ar"/>
        </w:rPr>
        <w:t>行政许可44条，行政处罚6条。</w:t>
      </w:r>
      <w:bookmarkStart w:id="0" w:name="_GoBack"/>
      <w:bookmarkEnd w:id="0"/>
    </w:p>
    <w:p>
      <w:pPr>
        <w:ind w:firstLine="482" w:firstLineChars="200"/>
        <w:rPr>
          <w:rFonts w:hint="eastAsia" w:ascii="宋体" w:hAnsi="宋体" w:eastAsia="宋体" w:cs="宋体"/>
          <w:b/>
          <w:bCs/>
          <w:sz w:val="24"/>
          <w:szCs w:val="24"/>
        </w:rPr>
      </w:pPr>
    </w:p>
    <w:p>
      <w:pPr>
        <w:ind w:firstLine="482" w:firstLineChars="200"/>
        <w:rPr>
          <w:rFonts w:ascii="宋体" w:hAnsi="宋体" w:eastAsia="宋体" w:cs="宋体"/>
          <w:b/>
          <w:bCs/>
          <w:sz w:val="24"/>
          <w:szCs w:val="24"/>
        </w:rPr>
      </w:pPr>
      <w:r>
        <w:rPr>
          <w:rFonts w:hint="eastAsia" w:ascii="宋体" w:hAnsi="宋体" w:eastAsia="宋体" w:cs="宋体"/>
          <w:b/>
          <w:bCs/>
          <w:sz w:val="24"/>
          <w:szCs w:val="24"/>
        </w:rPr>
        <w:t>二、主动公开政府信息情况</w:t>
      </w:r>
    </w:p>
    <w:tbl>
      <w:tblPr>
        <w:tblStyle w:val="2"/>
        <w:tblW w:w="9014" w:type="dxa"/>
        <w:jc w:val="center"/>
        <w:tblLayout w:type="fixed"/>
        <w:tblCellMar>
          <w:top w:w="0" w:type="dxa"/>
          <w:left w:w="0" w:type="dxa"/>
          <w:bottom w:w="0" w:type="dxa"/>
          <w:right w:w="0" w:type="dxa"/>
        </w:tblCellMar>
      </w:tblPr>
      <w:tblGrid>
        <w:gridCol w:w="2461"/>
        <w:gridCol w:w="2184"/>
        <w:gridCol w:w="2184"/>
        <w:gridCol w:w="2185"/>
      </w:tblGrid>
      <w:tr>
        <w:tblPrEx>
          <w:tblCellMar>
            <w:top w:w="0" w:type="dxa"/>
            <w:left w:w="0" w:type="dxa"/>
            <w:bottom w:w="0" w:type="dxa"/>
            <w:right w:w="0" w:type="dxa"/>
          </w:tblCellMar>
        </w:tblPrEx>
        <w:trPr>
          <w:trHeight w:val="495" w:hRule="atLeast"/>
          <w:jc w:val="center"/>
        </w:trPr>
        <w:tc>
          <w:tcPr>
            <w:tcW w:w="9014" w:type="dxa"/>
            <w:gridSpan w:val="4"/>
            <w:tcBorders>
              <w:top w:val="single" w:color="auto" w:sz="8" w:space="0"/>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第二十条第（一）项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2184" w:type="dxa"/>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本年制发件数</w:t>
            </w:r>
          </w:p>
        </w:tc>
        <w:tc>
          <w:tcPr>
            <w:tcW w:w="218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本年废止件数</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现行有效件数</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规章</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行政规范性文件</w:t>
            </w:r>
          </w:p>
        </w:tc>
        <w:tc>
          <w:tcPr>
            <w:tcW w:w="2184"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c>
          <w:tcPr>
            <w:tcW w:w="2185" w:type="dxa"/>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80"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第二十条第（五）项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0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行政许可</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44</w:t>
            </w:r>
          </w:p>
        </w:tc>
      </w:tr>
      <w:tr>
        <w:tblPrEx>
          <w:tblCellMar>
            <w:top w:w="0" w:type="dxa"/>
            <w:left w:w="0" w:type="dxa"/>
            <w:bottom w:w="0" w:type="dxa"/>
            <w:right w:w="0" w:type="dxa"/>
          </w:tblCellMar>
        </w:tblPrEx>
        <w:trPr>
          <w:trHeight w:val="406"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第二十条第（六）项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single" w:color="auto" w:sz="8" w:space="0"/>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本年处理决定数量</w:t>
            </w:r>
          </w:p>
        </w:tc>
      </w:tr>
      <w:tr>
        <w:tblPrEx>
          <w:tblCellMar>
            <w:top w:w="0" w:type="dxa"/>
            <w:left w:w="0" w:type="dxa"/>
            <w:bottom w:w="0" w:type="dxa"/>
            <w:right w:w="0" w:type="dxa"/>
          </w:tblCellMar>
        </w:tblPrEx>
        <w:trPr>
          <w:trHeight w:val="430"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行政处罚</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default"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6</w:t>
            </w:r>
          </w:p>
        </w:tc>
      </w:tr>
      <w:tr>
        <w:tblPrEx>
          <w:tblCellMar>
            <w:top w:w="0" w:type="dxa"/>
            <w:left w:w="0" w:type="dxa"/>
            <w:bottom w:w="0" w:type="dxa"/>
            <w:right w:w="0" w:type="dxa"/>
          </w:tblCellMar>
        </w:tblPrEx>
        <w:trPr>
          <w:trHeight w:val="409"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行政强制</w:t>
            </w:r>
          </w:p>
        </w:tc>
        <w:tc>
          <w:tcPr>
            <w:tcW w:w="6553" w:type="dxa"/>
            <w:gridSpan w:val="3"/>
            <w:tcBorders>
              <w:top w:val="nil"/>
              <w:left w:val="nil"/>
              <w:bottom w:val="single" w:color="auto" w:sz="8" w:space="0"/>
              <w:right w:val="single" w:color="auto"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r>
        <w:tblPrEx>
          <w:tblCellMar>
            <w:top w:w="0" w:type="dxa"/>
            <w:left w:w="0" w:type="dxa"/>
            <w:bottom w:w="0" w:type="dxa"/>
            <w:right w:w="0" w:type="dxa"/>
          </w:tblCellMar>
        </w:tblPrEx>
        <w:trPr>
          <w:trHeight w:val="474" w:hRule="atLeast"/>
          <w:jc w:val="center"/>
        </w:trPr>
        <w:tc>
          <w:tcPr>
            <w:tcW w:w="9014" w:type="dxa"/>
            <w:gridSpan w:val="4"/>
            <w:tcBorders>
              <w:top w:val="nil"/>
              <w:left w:val="single" w:color="auto" w:sz="8" w:space="0"/>
              <w:bottom w:val="single" w:color="auto" w:sz="8" w:space="0"/>
              <w:right w:val="single" w:color="auto" w:sz="8" w:space="0"/>
            </w:tcBorders>
            <w:shd w:val="clear" w:color="auto" w:fill="C6D9F1"/>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第二十条第（八）项</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信息内容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本年收费金额（单位：万元）</w:t>
            </w:r>
          </w:p>
        </w:tc>
      </w:tr>
      <w:tr>
        <w:tblPrEx>
          <w:tblCellMar>
            <w:top w:w="0" w:type="dxa"/>
            <w:left w:w="0" w:type="dxa"/>
            <w:bottom w:w="0" w:type="dxa"/>
            <w:right w:w="0" w:type="dxa"/>
          </w:tblCellMar>
        </w:tblPrEx>
        <w:trPr>
          <w:trHeight w:val="431" w:hRule="atLeast"/>
          <w:jc w:val="center"/>
        </w:trPr>
        <w:tc>
          <w:tcPr>
            <w:tcW w:w="2461" w:type="dxa"/>
            <w:tcBorders>
              <w:top w:val="nil"/>
              <w:left w:val="single" w:color="auto" w:sz="8" w:space="0"/>
              <w:bottom w:val="single" w:color="auto" w:sz="8" w:space="0"/>
              <w:right w:val="single" w:color="auto" w:sz="8" w:space="0"/>
            </w:tcBorders>
            <w:noWrap/>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color w:val="000000"/>
                <w:kern w:val="0"/>
                <w:sz w:val="20"/>
                <w:szCs w:val="20"/>
              </w:rPr>
              <w:t>行政事业性收费</w:t>
            </w:r>
          </w:p>
        </w:tc>
        <w:tc>
          <w:tcPr>
            <w:tcW w:w="6553" w:type="dxa"/>
            <w:gridSpan w:val="3"/>
            <w:tcBorders>
              <w:top w:val="nil"/>
              <w:left w:val="nil"/>
              <w:bottom w:val="single" w:color="auto" w:sz="8" w:space="0"/>
              <w:right w:val="single" w:color="000000" w:sz="8" w:space="0"/>
            </w:tcBorders>
            <w:noWrap/>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numPr>
          <w:ilvl w:val="0"/>
          <w:numId w:val="1"/>
        </w:numPr>
        <w:ind w:firstLine="482" w:firstLineChars="200"/>
        <w:rPr>
          <w:rFonts w:ascii="宋体" w:hAnsi="宋体" w:eastAsia="宋体" w:cs="宋体"/>
          <w:b/>
          <w:bCs/>
          <w:sz w:val="24"/>
          <w:szCs w:val="24"/>
        </w:rPr>
      </w:pPr>
      <w:r>
        <w:rPr>
          <w:rFonts w:hint="eastAsia" w:ascii="宋体" w:hAnsi="宋体" w:eastAsia="宋体" w:cs="宋体"/>
          <w:b/>
          <w:bCs/>
          <w:sz w:val="24"/>
          <w:szCs w:val="24"/>
        </w:rPr>
        <w:t>收到和处理政府信息公开申请情况</w:t>
      </w:r>
    </w:p>
    <w:tbl>
      <w:tblPr>
        <w:tblStyle w:val="2"/>
        <w:tblW w:w="9071" w:type="dxa"/>
        <w:jc w:val="center"/>
        <w:tblLayout w:type="autofit"/>
        <w:tblCellMar>
          <w:top w:w="0" w:type="dxa"/>
          <w:left w:w="0" w:type="dxa"/>
          <w:bottom w:w="0" w:type="dxa"/>
          <w:right w:w="0" w:type="dxa"/>
        </w:tblCellMar>
      </w:tblPr>
      <w:tblGrid>
        <w:gridCol w:w="617"/>
        <w:gridCol w:w="854"/>
        <w:gridCol w:w="2216"/>
        <w:gridCol w:w="683"/>
        <w:gridCol w:w="755"/>
        <w:gridCol w:w="755"/>
        <w:gridCol w:w="925"/>
        <w:gridCol w:w="861"/>
        <w:gridCol w:w="711"/>
        <w:gridCol w:w="694"/>
      </w:tblGrid>
      <w:tr>
        <w:tblPrEx>
          <w:tblCellMar>
            <w:top w:w="0" w:type="dxa"/>
            <w:left w:w="0" w:type="dxa"/>
            <w:bottom w:w="0" w:type="dxa"/>
            <w:right w:w="0" w:type="dxa"/>
          </w:tblCellMar>
        </w:tblPrEx>
        <w:trPr>
          <w:trHeight w:val="404" w:hRule="atLeast"/>
          <w:jc w:val="center"/>
        </w:trPr>
        <w:tc>
          <w:tcPr>
            <w:tcW w:w="3687" w:type="dxa"/>
            <w:gridSpan w:val="3"/>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楷体" w:hAnsi="楷体" w:eastAsia="楷体" w:cs="楷体"/>
                <w:kern w:val="0"/>
                <w:sz w:val="20"/>
                <w:szCs w:val="20"/>
              </w:rPr>
              <w:t>（本列数据的勾稽关系为：第一项加第二项之和，等于第三项加第四项之和）</w:t>
            </w:r>
          </w:p>
        </w:tc>
        <w:tc>
          <w:tcPr>
            <w:tcW w:w="5384" w:type="dxa"/>
            <w:gridSpan w:val="7"/>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申请人情况</w:t>
            </w:r>
          </w:p>
        </w:tc>
      </w:tr>
      <w:tr>
        <w:tblPrEx>
          <w:tblCellMar>
            <w:top w:w="0" w:type="dxa"/>
            <w:left w:w="0" w:type="dxa"/>
            <w:bottom w:w="0" w:type="dxa"/>
            <w:right w:w="0" w:type="dxa"/>
          </w:tblCellMar>
        </w:tblPrEx>
        <w:trPr>
          <w:trHeight w:val="41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自</w:t>
            </w:r>
          </w:p>
          <w:p>
            <w:pPr>
              <w:widowControl/>
              <w:jc w:val="center"/>
              <w:rPr>
                <w:rFonts w:hint="eastAsia" w:ascii="宋体" w:hAnsi="宋体" w:eastAsia="宋体" w:cs="宋体"/>
                <w:kern w:val="0"/>
                <w:sz w:val="20"/>
                <w:szCs w:val="20"/>
              </w:rPr>
            </w:pPr>
            <w:r>
              <w:rPr>
                <w:rFonts w:hint="eastAsia" w:ascii="宋体" w:hAnsi="宋体" w:eastAsia="宋体" w:cs="宋体"/>
                <w:kern w:val="0"/>
                <w:sz w:val="20"/>
                <w:szCs w:val="20"/>
              </w:rPr>
              <w:t>然</w:t>
            </w:r>
          </w:p>
          <w:p>
            <w:pPr>
              <w:widowControl/>
              <w:jc w:val="center"/>
              <w:rPr>
                <w:rFonts w:ascii="宋体" w:hAnsi="宋体" w:eastAsia="宋体" w:cs="宋体"/>
                <w:kern w:val="0"/>
                <w:sz w:val="24"/>
                <w:szCs w:val="24"/>
              </w:rPr>
            </w:pPr>
            <w:r>
              <w:rPr>
                <w:rFonts w:hint="eastAsia" w:ascii="宋体" w:hAnsi="宋体" w:eastAsia="宋体" w:cs="宋体"/>
                <w:kern w:val="0"/>
                <w:sz w:val="20"/>
                <w:szCs w:val="20"/>
              </w:rPr>
              <w:t>人</w:t>
            </w:r>
          </w:p>
        </w:tc>
        <w:tc>
          <w:tcPr>
            <w:tcW w:w="400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法人或其他组织</w:t>
            </w:r>
          </w:p>
        </w:tc>
        <w:tc>
          <w:tcPr>
            <w:tcW w:w="69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r>
      <w:tr>
        <w:tblPrEx>
          <w:tblCellMar>
            <w:top w:w="0" w:type="dxa"/>
            <w:left w:w="0" w:type="dxa"/>
            <w:bottom w:w="0" w:type="dxa"/>
            <w:right w:w="0" w:type="dxa"/>
          </w:tblCellMar>
        </w:tblPrEx>
        <w:trPr>
          <w:trHeight w:val="774" w:hRule="atLeast"/>
          <w:jc w:val="center"/>
        </w:trPr>
        <w:tc>
          <w:tcPr>
            <w:tcW w:w="3687" w:type="dxa"/>
            <w:gridSpan w:val="3"/>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683" w:type="dxa"/>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商业企业</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科研机构</w:t>
            </w:r>
          </w:p>
        </w:tc>
        <w:tc>
          <w:tcPr>
            <w:tcW w:w="92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社会公益组织</w:t>
            </w:r>
          </w:p>
        </w:tc>
        <w:tc>
          <w:tcPr>
            <w:tcW w:w="86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法律服务机构</w:t>
            </w:r>
          </w:p>
        </w:tc>
        <w:tc>
          <w:tcPr>
            <w:tcW w:w="711"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w:t>
            </w: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一、本年新收政府信息公开申请数量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二、上年结转政府信息公开申请数量</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Cs w:val="24"/>
                <w:lang w:val="en-US" w:eastAsia="zh-CN"/>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617"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p>
          <w:p>
            <w:pPr>
              <w:widowControl/>
              <w:rPr>
                <w:rFonts w:hint="eastAsia" w:ascii="宋体" w:hAnsi="宋体" w:eastAsia="宋体" w:cs="宋体"/>
                <w:kern w:val="0"/>
                <w:sz w:val="20"/>
                <w:szCs w:val="20"/>
              </w:rPr>
            </w:pPr>
            <w:r>
              <w:rPr>
                <w:rFonts w:hint="eastAsia" w:ascii="宋体" w:hAnsi="宋体" w:eastAsia="宋体" w:cs="宋体"/>
                <w:kern w:val="0"/>
                <w:sz w:val="20"/>
                <w:szCs w:val="20"/>
              </w:rPr>
              <w:t>三、</w:t>
            </w:r>
          </w:p>
          <w:p>
            <w:pPr>
              <w:widowControl/>
              <w:rPr>
                <w:rFonts w:ascii="宋体" w:hAnsi="宋体" w:eastAsia="宋体" w:cs="宋体"/>
                <w:kern w:val="0"/>
                <w:sz w:val="24"/>
                <w:szCs w:val="24"/>
              </w:rPr>
            </w:pPr>
            <w:r>
              <w:rPr>
                <w:rFonts w:hint="eastAsia" w:ascii="宋体" w:hAnsi="宋体" w:eastAsia="宋体" w:cs="宋体"/>
                <w:kern w:val="0"/>
                <w:sz w:val="20"/>
                <w:szCs w:val="20"/>
              </w:rPr>
              <w:t>本年度办理结果</w:t>
            </w: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（一）予以公开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（二）部分公开</w:t>
            </w:r>
            <w:r>
              <w:rPr>
                <w:rFonts w:hint="eastAsia" w:ascii="楷体" w:hAnsi="楷体" w:eastAsia="楷体" w:cs="宋体"/>
                <w:kern w:val="0"/>
                <w:sz w:val="20"/>
                <w:szCs w:val="20"/>
              </w:rPr>
              <w:t>（区分处理的，只计这一情形，不计其他情形）</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Theme="minorEastAsia" w:hAnsiTheme="minorEastAsia" w:cstheme="minorEastAsia"/>
                <w:kern w:val="0"/>
                <w:sz w:val="20"/>
                <w:szCs w:val="20"/>
              </w:rPr>
              <w:t>（三）不予公开</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1.属于国家秘密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2.其他法律行政法规禁止公开</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4"/>
                <w:lang w:val="en-US" w:eastAsia="zh-CN" w:bidi="ar-SA"/>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3.危及“三安全一稳定”</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4.保护第三方合法权益</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4"/>
                <w:lang w:val="en-US" w:eastAsia="zh-CN" w:bidi="ar-SA"/>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5.属于三类内部事务信息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431"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6.属于四类过程性信息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8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7.属于行政执法案卷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9"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Theme="minorEastAsia" w:hAnsiTheme="minorEastAsia" w:cstheme="minorEastAsia"/>
                <w:kern w:val="0"/>
                <w:sz w:val="24"/>
                <w:szCs w:val="24"/>
              </w:rPr>
            </w:pPr>
            <w:r>
              <w:rPr>
                <w:rFonts w:hint="eastAsia" w:asciiTheme="minorEastAsia" w:hAnsiTheme="minorEastAsia" w:cstheme="minorEastAsia"/>
                <w:kern w:val="0"/>
                <w:sz w:val="20"/>
                <w:szCs w:val="20"/>
              </w:rPr>
              <w:t>8.属于行政查询事项</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（四）无法提供</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1.本机关不掌握相关政府信息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4"/>
                <w:lang w:val="en-US" w:eastAsia="zh-CN" w:bidi="ar-SA"/>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2.没有现成信息需要另行制作</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3.补正后申请内容仍不明确</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68"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（五）不予处理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1.信访举报投诉类申请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67"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2.重复申请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3.要求提供公开出版物</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1"/>
                <w:szCs w:val="24"/>
                <w:lang w:val="en-US" w:eastAsia="zh-CN" w:bidi="ar-SA"/>
              </w:rPr>
            </w:pPr>
            <w:r>
              <w:rPr>
                <w:rFonts w:hint="eastAsia" w:ascii="宋体" w:hAnsi="宋体" w:eastAsia="宋体" w:cs="宋体"/>
                <w:kern w:val="0"/>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80"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4.无正当理由大量反复申请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70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5.要求行政机关确认或重新出具已获取信息</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restart"/>
            <w:tcBorders>
              <w:top w:val="nil"/>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（六）其他处理</w:t>
            </w: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1.申请人无正当理由逾期不补正、行政机关不再处理其政府信息公开申请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2.申请人逾期未按收费通知要求缴纳费用、行政机关不再处理其政府信息公开申请</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22"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854" w:type="dxa"/>
            <w:vMerge w:val="continue"/>
            <w:tcBorders>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p>
        </w:tc>
        <w:tc>
          <w:tcPr>
            <w:tcW w:w="221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0"/>
                <w:szCs w:val="20"/>
              </w:rPr>
            </w:pPr>
            <w:r>
              <w:rPr>
                <w:rFonts w:hint="eastAsia" w:ascii="宋体" w:hAnsi="宋体" w:eastAsia="宋体" w:cs="宋体"/>
                <w:kern w:val="0"/>
                <w:sz w:val="20"/>
                <w:szCs w:val="20"/>
              </w:rPr>
              <w:t>3.其他</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544"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3070" w:type="dxa"/>
            <w:gridSpan w:val="2"/>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（七）总计</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r>
        <w:tblPrEx>
          <w:tblCellMar>
            <w:top w:w="0" w:type="dxa"/>
            <w:left w:w="0" w:type="dxa"/>
            <w:bottom w:w="0" w:type="dxa"/>
            <w:right w:w="0" w:type="dxa"/>
          </w:tblCellMar>
        </w:tblPrEx>
        <w:trPr>
          <w:trHeight w:val="650" w:hRule="atLeast"/>
          <w:jc w:val="center"/>
        </w:trPr>
        <w:tc>
          <w:tcPr>
            <w:tcW w:w="3687" w:type="dxa"/>
            <w:gridSpan w:val="3"/>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left"/>
              <w:rPr>
                <w:rFonts w:ascii="宋体" w:hAnsi="宋体" w:eastAsia="宋体" w:cs="宋体"/>
                <w:kern w:val="0"/>
                <w:sz w:val="24"/>
                <w:szCs w:val="24"/>
              </w:rPr>
            </w:pPr>
            <w:r>
              <w:rPr>
                <w:rFonts w:hint="eastAsia" w:ascii="宋体" w:hAnsi="宋体" w:eastAsia="宋体" w:cs="宋体"/>
                <w:kern w:val="0"/>
                <w:sz w:val="20"/>
                <w:szCs w:val="20"/>
              </w:rPr>
              <w:t>四、结转下年度继续办理</w:t>
            </w:r>
          </w:p>
        </w:tc>
        <w:tc>
          <w:tcPr>
            <w:tcW w:w="683"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5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92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86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711"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c>
          <w:tcPr>
            <w:tcW w:w="69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rPr>
              <w:t>0</w:t>
            </w:r>
          </w:p>
        </w:tc>
      </w:tr>
    </w:tbl>
    <w:p>
      <w:pPr>
        <w:numPr>
          <w:numId w:val="0"/>
        </w:numPr>
        <w:rPr>
          <w:rFonts w:hint="eastAsia" w:ascii="宋体" w:hAnsi="宋体" w:eastAsia="宋体" w:cs="宋体"/>
          <w:b/>
          <w:bCs/>
          <w:sz w:val="24"/>
          <w:szCs w:val="24"/>
        </w:rPr>
      </w:pPr>
    </w:p>
    <w:p>
      <w:pPr>
        <w:numPr>
          <w:numId w:val="0"/>
        </w:numPr>
        <w:ind w:firstLine="482" w:firstLineChars="200"/>
        <w:rPr>
          <w:rFonts w:ascii="宋体" w:hAnsi="宋体" w:eastAsia="宋体" w:cs="宋体"/>
          <w:b/>
          <w:bCs/>
          <w:sz w:val="24"/>
          <w:szCs w:val="24"/>
        </w:rPr>
      </w:pPr>
      <w:r>
        <w:rPr>
          <w:rFonts w:hint="eastAsia" w:ascii="宋体" w:hAnsi="宋体" w:eastAsia="宋体" w:cs="宋体"/>
          <w:b/>
          <w:bCs/>
          <w:sz w:val="24"/>
          <w:szCs w:val="24"/>
          <w:lang w:eastAsia="zh-CN"/>
        </w:rPr>
        <w:t>四、</w:t>
      </w:r>
      <w:r>
        <w:rPr>
          <w:rFonts w:hint="eastAsia" w:ascii="宋体" w:hAnsi="宋体" w:eastAsia="宋体" w:cs="宋体"/>
          <w:b/>
          <w:bCs/>
          <w:sz w:val="24"/>
          <w:szCs w:val="24"/>
        </w:rPr>
        <w:t>政府信息公开行政复议、行政诉讼情况</w:t>
      </w:r>
    </w:p>
    <w:tbl>
      <w:tblPr>
        <w:tblStyle w:val="2"/>
        <w:tblW w:w="9071" w:type="dxa"/>
        <w:jc w:val="center"/>
        <w:tblLayout w:type="autofit"/>
        <w:tblCellMar>
          <w:top w:w="0" w:type="dxa"/>
          <w:left w:w="0" w:type="dxa"/>
          <w:bottom w:w="0" w:type="dxa"/>
          <w:right w:w="0" w:type="dxa"/>
        </w:tblCellMar>
      </w:tblPr>
      <w:tblGrid>
        <w:gridCol w:w="604"/>
        <w:gridCol w:w="604"/>
        <w:gridCol w:w="604"/>
        <w:gridCol w:w="604"/>
        <w:gridCol w:w="658"/>
        <w:gridCol w:w="550"/>
        <w:gridCol w:w="605"/>
        <w:gridCol w:w="605"/>
        <w:gridCol w:w="605"/>
        <w:gridCol w:w="605"/>
        <w:gridCol w:w="605"/>
        <w:gridCol w:w="605"/>
        <w:gridCol w:w="605"/>
        <w:gridCol w:w="606"/>
        <w:gridCol w:w="606"/>
      </w:tblGrid>
      <w:tr>
        <w:trPr>
          <w:jc w:val="center"/>
        </w:trPr>
        <w:tc>
          <w:tcPr>
            <w:tcW w:w="3074" w:type="dxa"/>
            <w:gridSpan w:val="5"/>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行政复议</w:t>
            </w:r>
          </w:p>
        </w:tc>
        <w:tc>
          <w:tcPr>
            <w:tcW w:w="5997" w:type="dxa"/>
            <w:gridSpan w:val="10"/>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行政诉讼</w:t>
            </w:r>
          </w:p>
        </w:tc>
      </w:tr>
      <w:tr>
        <w:tblPrEx>
          <w:tblCellMar>
            <w:top w:w="0" w:type="dxa"/>
            <w:left w:w="0" w:type="dxa"/>
            <w:bottom w:w="0" w:type="dxa"/>
            <w:right w:w="0" w:type="dxa"/>
          </w:tblCellMar>
        </w:tblPrEx>
        <w:trPr>
          <w:jc w:val="center"/>
        </w:trPr>
        <w:tc>
          <w:tcPr>
            <w:tcW w:w="604"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4" w:type="dxa"/>
            <w:vMerge w:val="restart"/>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4"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58" w:type="dxa"/>
            <w:vMerge w:val="restart"/>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总计</w:t>
            </w:r>
          </w:p>
        </w:tc>
        <w:tc>
          <w:tcPr>
            <w:tcW w:w="2970"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未经复议直接起诉</w:t>
            </w:r>
          </w:p>
        </w:tc>
        <w:tc>
          <w:tcPr>
            <w:tcW w:w="3027" w:type="dxa"/>
            <w:gridSpan w:val="5"/>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复议后起诉</w:t>
            </w:r>
          </w:p>
        </w:tc>
      </w:tr>
      <w:tr>
        <w:trPr>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nil"/>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0" w:type="auto"/>
            <w:vMerge w:val="continue"/>
            <w:tcBorders>
              <w:top w:val="single" w:color="auto" w:sz="8" w:space="0"/>
              <w:left w:val="nil"/>
              <w:bottom w:val="single" w:color="auto" w:sz="8" w:space="0"/>
              <w:right w:val="single" w:color="auto" w:sz="8" w:space="0"/>
            </w:tcBorders>
            <w:vAlign w:val="center"/>
          </w:tcPr>
          <w:p>
            <w:pPr>
              <w:widowControl/>
              <w:jc w:val="left"/>
              <w:rPr>
                <w:rFonts w:ascii="宋体" w:hAnsi="宋体" w:eastAsia="宋体" w:cs="宋体"/>
                <w:kern w:val="0"/>
                <w:sz w:val="24"/>
                <w:szCs w:val="24"/>
              </w:rPr>
            </w:pP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其他结果</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结果维持</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结果纠正</w:t>
            </w:r>
          </w:p>
        </w:tc>
        <w:tc>
          <w:tcPr>
            <w:tcW w:w="605"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其他结果</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kern w:val="0"/>
                <w:sz w:val="20"/>
                <w:szCs w:val="20"/>
              </w:rPr>
              <w:t>尚未审结</w:t>
            </w:r>
          </w:p>
        </w:tc>
        <w:tc>
          <w:tcPr>
            <w:tcW w:w="606"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ascii="宋体" w:hAnsi="宋体" w:eastAsia="宋体" w:cs="宋体"/>
                <w:kern w:val="0"/>
                <w:sz w:val="24"/>
                <w:szCs w:val="24"/>
              </w:rPr>
            </w:pPr>
            <w:r>
              <w:rPr>
                <w:rFonts w:hint="eastAsia" w:ascii="宋体" w:hAnsi="宋体" w:eastAsia="宋体" w:cs="宋体"/>
                <w:color w:val="000000"/>
                <w:kern w:val="0"/>
                <w:sz w:val="20"/>
                <w:szCs w:val="20"/>
              </w:rPr>
              <w:t>总计</w:t>
            </w:r>
          </w:p>
        </w:tc>
      </w:tr>
      <w:tr>
        <w:trPr>
          <w:trHeight w:val="696" w:hRule="atLeast"/>
          <w:jc w:val="center"/>
        </w:trPr>
        <w:tc>
          <w:tcPr>
            <w:tcW w:w="604" w:type="dxa"/>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4"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58"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55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5"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0</w:t>
            </w:r>
          </w:p>
        </w:tc>
        <w:tc>
          <w:tcPr>
            <w:tcW w:w="606"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jc w:val="center"/>
              <w:rPr>
                <w:rFonts w:hint="eastAsia" w:ascii="宋体" w:hAnsi="宋体" w:eastAsia="宋体" w:cs="宋体"/>
                <w:kern w:val="0"/>
                <w:sz w:val="20"/>
                <w:szCs w:val="20"/>
                <w:lang w:val="en-US" w:eastAsia="zh-CN"/>
              </w:rPr>
            </w:pPr>
            <w:r>
              <w:rPr>
                <w:rFonts w:hint="eastAsia" w:ascii="宋体" w:hAnsi="宋体" w:eastAsia="宋体" w:cs="宋体"/>
                <w:kern w:val="0"/>
                <w:sz w:val="20"/>
                <w:szCs w:val="20"/>
                <w:lang w:val="en-US" w:eastAsia="zh-CN"/>
              </w:rPr>
              <w:t>0</w:t>
            </w:r>
          </w:p>
        </w:tc>
      </w:tr>
    </w:tbl>
    <w:p>
      <w:pPr>
        <w:keepNext w:val="0"/>
        <w:keepLines w:val="0"/>
        <w:pageBreakBefore w:val="0"/>
        <w:widowControl/>
        <w:suppressLineNumbers w:val="0"/>
        <w:shd w:val="clear" w:fill="FFFFFF"/>
        <w:kinsoku/>
        <w:wordWrap w:val="0"/>
        <w:overflowPunct/>
        <w:topLinePunct w:val="0"/>
        <w:autoSpaceDE w:val="0"/>
        <w:autoSpaceDN/>
        <w:bidi w:val="0"/>
        <w:adjustRightInd/>
        <w:snapToGrid/>
        <w:spacing w:before="0" w:beforeAutospacing="0" w:after="0" w:afterAutospacing="0" w:line="560" w:lineRule="exact"/>
        <w:ind w:right="0"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kern w:val="0"/>
          <w:sz w:val="24"/>
          <w:szCs w:val="24"/>
          <w:shd w:val="clear" w:fill="FFFFFF"/>
          <w:lang w:val="en-US" w:eastAsia="zh-CN" w:bidi="ar"/>
        </w:rPr>
        <w:t>五、存在的主要问题及改进情况</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kern w:val="0"/>
          <w:sz w:val="24"/>
          <w:szCs w:val="24"/>
          <w:shd w:val="clear" w:fill="FFFFFF"/>
          <w:lang w:val="en-US" w:eastAsia="zh-CN" w:bidi="ar"/>
        </w:rPr>
        <w:t>存在的主要问题：近年来龙潭区农村常住人口不断减少，都涌向了城市，这给乡镇学校和农村学校带来了很大压力，班额减少，留住老师、留住学生是目前面临的巨大问题。给我局在招生商带来前所未有的挑战，对我局的教育领域信息公开工作尤其是政策宣传、招生方面的信息公开工作提出了新的要求。</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kern w:val="0"/>
          <w:sz w:val="24"/>
          <w:szCs w:val="24"/>
          <w:shd w:val="clear" w:fill="FFFFFF"/>
          <w:lang w:val="en-US" w:eastAsia="zh-CN" w:bidi="ar"/>
        </w:rPr>
        <w:t>改进措施：认真学习新条例内容，今年组织人员参加龙潭区政府办组织的政府信息公开业务培训和交流，充实政府信息公开工作人员，提高政府信息公开工作人员的意识和水平。确保公开时效性，坚持“以公开为原则，不公开为特例”的原则，严格按照新条例要求，主动及时向社会公开招生政策信息等方面的信息，做好政策解读工作，以确保政府信息公开的完整性、全面性和及时性。</w:t>
      </w:r>
    </w:p>
    <w:p>
      <w:pPr>
        <w:keepNext w:val="0"/>
        <w:keepLines w:val="0"/>
        <w:pageBreakBefore w:val="0"/>
        <w:widowControl/>
        <w:suppressLineNumbers w:val="0"/>
        <w:shd w:val="clear" w:fill="FFFFFF"/>
        <w:kinsoku/>
        <w:wordWrap w:val="0"/>
        <w:overflowPunct/>
        <w:topLinePunct w:val="0"/>
        <w:autoSpaceDE w:val="0"/>
        <w:autoSpaceDN/>
        <w:bidi w:val="0"/>
        <w:adjustRightInd/>
        <w:snapToGrid/>
        <w:spacing w:before="0" w:beforeAutospacing="0" w:after="0" w:afterAutospacing="0" w:line="560" w:lineRule="exact"/>
        <w:ind w:left="0" w:right="0" w:firstLine="482" w:firstLineChars="200"/>
        <w:jc w:val="both"/>
        <w:textAlignment w:val="auto"/>
        <w:rPr>
          <w:rFonts w:hint="eastAsia" w:asciiTheme="minorEastAsia" w:hAnsiTheme="minorEastAsia" w:eastAsiaTheme="minorEastAsia" w:cstheme="minorEastAsia"/>
          <w:b/>
          <w:bCs/>
          <w:sz w:val="24"/>
          <w:szCs w:val="24"/>
        </w:rPr>
      </w:pPr>
      <w:r>
        <w:rPr>
          <w:rFonts w:hint="eastAsia" w:asciiTheme="minorEastAsia" w:hAnsiTheme="minorEastAsia" w:eastAsiaTheme="minorEastAsia" w:cstheme="minorEastAsia"/>
          <w:b/>
          <w:bCs/>
          <w:color w:val="333333"/>
          <w:kern w:val="0"/>
          <w:sz w:val="24"/>
          <w:szCs w:val="24"/>
          <w:shd w:val="clear" w:fill="FFFFFF"/>
          <w:lang w:val="en-US" w:eastAsia="zh-CN" w:bidi="ar"/>
        </w:rPr>
        <w:t>六、其他需要报告的事项</w:t>
      </w:r>
    </w:p>
    <w:p>
      <w:pPr>
        <w:keepNext w:val="0"/>
        <w:keepLines w:val="0"/>
        <w:pageBreakBefore w:val="0"/>
        <w:widowControl/>
        <w:suppressLineNumbers w:val="0"/>
        <w:shd w:val="clear" w:fill="FFFFFF"/>
        <w:kinsoku/>
        <w:wordWrap w:val="0"/>
        <w:overflowPunct/>
        <w:topLinePunct w:val="0"/>
        <w:autoSpaceDE w:val="0"/>
        <w:autoSpaceDN/>
        <w:bidi w:val="0"/>
        <w:adjustRightInd/>
        <w:snapToGrid/>
        <w:spacing w:before="0" w:beforeAutospacing="0" w:after="0" w:afterAutospacing="0" w:line="560" w:lineRule="exact"/>
        <w:ind w:left="0" w:right="0" w:firstLine="480" w:firstLineChars="200"/>
        <w:jc w:val="both"/>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333333"/>
          <w:kern w:val="0"/>
          <w:sz w:val="24"/>
          <w:szCs w:val="24"/>
          <w:shd w:val="clear" w:fill="FFFFFF"/>
          <w:lang w:val="en-US" w:eastAsia="zh-CN" w:bidi="ar"/>
        </w:rPr>
        <w:t>无</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kern w:val="0"/>
          <w:sz w:val="24"/>
          <w:szCs w:val="24"/>
          <w:shd w:val="clear" w:fill="FFFFFF"/>
          <w:lang w:val="en-US" w:eastAsia="zh-CN" w:bidi="ar"/>
        </w:rPr>
        <w:t>                                               </w:t>
      </w:r>
      <w:r>
        <w:rPr>
          <w:rFonts w:hint="eastAsia" w:asciiTheme="minorEastAsia" w:hAnsiTheme="minorEastAsia" w:cstheme="minorEastAsia"/>
          <w:color w:val="555555"/>
          <w:kern w:val="0"/>
          <w:sz w:val="24"/>
          <w:szCs w:val="24"/>
          <w:shd w:val="clear" w:fill="FFFFFF"/>
          <w:lang w:val="en-US" w:eastAsia="zh-CN" w:bidi="ar"/>
        </w:rPr>
        <w:t xml:space="preserve">                     </w:t>
      </w:r>
      <w:r>
        <w:rPr>
          <w:rFonts w:hint="eastAsia" w:asciiTheme="minorEastAsia" w:hAnsiTheme="minorEastAsia" w:eastAsiaTheme="minorEastAsia" w:cstheme="minorEastAsia"/>
          <w:color w:val="555555"/>
          <w:kern w:val="0"/>
          <w:sz w:val="24"/>
          <w:szCs w:val="24"/>
          <w:shd w:val="clear" w:fill="FFFFFF"/>
          <w:lang w:val="en-US" w:eastAsia="zh-CN" w:bidi="ar"/>
        </w:rPr>
        <w:t>龙潭区教育局</w:t>
      </w:r>
    </w:p>
    <w:p>
      <w:pPr>
        <w:keepNext w:val="0"/>
        <w:keepLines w:val="0"/>
        <w:pageBreakBefore w:val="0"/>
        <w:widowControl/>
        <w:suppressLineNumbers w:val="0"/>
        <w:kinsoku/>
        <w:wordWrap w:val="0"/>
        <w:overflowPunct/>
        <w:topLinePunct w:val="0"/>
        <w:autoSpaceDN/>
        <w:bidi w:val="0"/>
        <w:adjustRightInd/>
        <w:snapToGrid/>
        <w:spacing w:before="0" w:beforeAutospacing="0" w:after="0" w:afterAutospacing="0" w:line="560" w:lineRule="exact"/>
        <w:ind w:left="0" w:right="0" w:firstLine="480" w:firstLineChars="200"/>
        <w:jc w:val="left"/>
        <w:textAlignment w:val="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color w:val="555555"/>
          <w:kern w:val="0"/>
          <w:sz w:val="24"/>
          <w:szCs w:val="24"/>
          <w:shd w:val="clear" w:fill="FFFFFF"/>
          <w:lang w:val="en-US" w:eastAsia="zh-CN" w:bidi="ar"/>
        </w:rPr>
        <w:t>                                                </w:t>
      </w:r>
      <w:r>
        <w:rPr>
          <w:rFonts w:hint="eastAsia" w:asciiTheme="minorEastAsia" w:hAnsiTheme="minorEastAsia" w:cstheme="minorEastAsia"/>
          <w:color w:val="555555"/>
          <w:kern w:val="0"/>
          <w:sz w:val="24"/>
          <w:szCs w:val="24"/>
          <w:shd w:val="clear" w:fill="FFFFFF"/>
          <w:lang w:val="en-US" w:eastAsia="zh-CN" w:bidi="ar"/>
        </w:rPr>
        <w:t xml:space="preserve">                 </w:t>
      </w:r>
      <w:r>
        <w:rPr>
          <w:rFonts w:hint="eastAsia" w:asciiTheme="minorEastAsia" w:hAnsiTheme="minorEastAsia" w:eastAsiaTheme="minorEastAsia" w:cstheme="minorEastAsia"/>
          <w:color w:val="555555"/>
          <w:kern w:val="0"/>
          <w:sz w:val="24"/>
          <w:szCs w:val="24"/>
          <w:shd w:val="clear" w:fill="FFFFFF"/>
          <w:lang w:val="en-US" w:eastAsia="zh-CN" w:bidi="ar"/>
        </w:rPr>
        <w:t>202</w:t>
      </w:r>
      <w:r>
        <w:rPr>
          <w:rFonts w:hint="eastAsia" w:asciiTheme="minorEastAsia" w:hAnsiTheme="minorEastAsia" w:cstheme="minorEastAsia"/>
          <w:color w:val="555555"/>
          <w:kern w:val="0"/>
          <w:sz w:val="24"/>
          <w:szCs w:val="24"/>
          <w:shd w:val="clear" w:fill="FFFFFF"/>
          <w:lang w:val="en-US" w:eastAsia="zh-CN" w:bidi="ar"/>
        </w:rPr>
        <w:t>2</w:t>
      </w:r>
      <w:r>
        <w:rPr>
          <w:rFonts w:hint="eastAsia" w:asciiTheme="minorEastAsia" w:hAnsiTheme="minorEastAsia" w:eastAsiaTheme="minorEastAsia" w:cstheme="minorEastAsia"/>
          <w:color w:val="555555"/>
          <w:kern w:val="0"/>
          <w:sz w:val="24"/>
          <w:szCs w:val="24"/>
          <w:shd w:val="clear" w:fill="FFFFFF"/>
          <w:lang w:val="en-US" w:eastAsia="zh-CN" w:bidi="ar"/>
        </w:rPr>
        <w:t>年1月</w:t>
      </w:r>
      <w:r>
        <w:rPr>
          <w:rFonts w:hint="eastAsia" w:asciiTheme="minorEastAsia" w:hAnsiTheme="minorEastAsia" w:cstheme="minorEastAsia"/>
          <w:color w:val="555555"/>
          <w:kern w:val="0"/>
          <w:sz w:val="24"/>
          <w:szCs w:val="24"/>
          <w:shd w:val="clear" w:fill="FFFFFF"/>
          <w:lang w:val="en-US" w:eastAsia="zh-CN" w:bidi="ar"/>
        </w:rPr>
        <w:t>6</w:t>
      </w:r>
      <w:r>
        <w:rPr>
          <w:rFonts w:hint="eastAsia" w:asciiTheme="minorEastAsia" w:hAnsiTheme="minorEastAsia" w:eastAsiaTheme="minorEastAsia" w:cstheme="minorEastAsia"/>
          <w:color w:val="555555"/>
          <w:kern w:val="0"/>
          <w:sz w:val="24"/>
          <w:szCs w:val="24"/>
          <w:shd w:val="clear" w:fill="FFFFFF"/>
          <w:lang w:val="en-US" w:eastAsia="zh-CN" w:bidi="ar"/>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隶书">
    <w:panose1 w:val="02010509060101010101"/>
    <w:charset w:val="86"/>
    <w:family w:val="auto"/>
    <w:pitch w:val="default"/>
    <w:sig w:usb0="00000001" w:usb1="080E0000" w:usb2="00000000" w:usb3="00000000" w:csb0="00040000" w:csb1="00000000"/>
  </w:font>
  <w:font w:name="华文仿宋">
    <w:altName w:val="仿宋"/>
    <w:panose1 w:val="02010600040101010101"/>
    <w:charset w:val="86"/>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4075A3"/>
    <w:multiLevelType w:val="singleLevel"/>
    <w:tmpl w:val="704075A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BF449F2"/>
    <w:rsid w:val="3E560464"/>
    <w:rsid w:val="6E6516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Office_11.1.0.11035_F1E327BC-269C-435d-A152-05C5408002CA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2022-01-05T06:03:00Z</dcterms:created>
  <dc:creator>Administrator</dc:creator>
  <cp:lastModifiedBy>nicole™</cp:lastModifiedBy>
  <dcterms:modified xsi:type="dcterms:W3CDTF">2022-01-06T03:28:36Z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2052-11.1.0.11035</vt:lpwstr>
  </property>
  <property fmtid="{D5CDD505-2E9C-101B-9397-08002B2CF9AE}" pid="3" name="ICV">
    <vt:lpwstr>73A3633251334941A4BF8B208E20C62B</vt:lpwstr>
  </property>
</Properties>
</file>