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2025年度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吉林化学工业循环经济示范园区消防救援大队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行政执法工作报告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执法制度落实情况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行政执法公示制度：事前通过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消防支队</w:t>
      </w:r>
      <w:r>
        <w:rPr>
          <w:rFonts w:hint="eastAsia" w:ascii="仿宋" w:hAnsi="仿宋" w:eastAsia="仿宋" w:cs="仿宋"/>
          <w:sz w:val="32"/>
          <w:szCs w:val="32"/>
        </w:rPr>
        <w:t>网站、官方微信公众号等渠道，公开执法主体、职责权限、执法流程、权力清单、随机抽查事项清单等信息；事中执法人员规范着装、主动出示执法证件；事后在行政许可、行政处罚决定作出后7个工作日内，通过信用监管平台向社会公开，公开率100%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法全过程记录制度：为一线执法人员配齐执法记录仪、数据采集站等设备，明确监督检查、调查取证、案件审理等关键环节全程录音录像；所有执法活动依法制作规范行政执法文书，依托消防监督管理系统建立电子归档平台，实现执法记录可回溯、可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重大执法决定法制审核制度：明确法制审核范围，对责令停产停业、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万元以上罚款等重大案件实行集体议案，法制审核覆盖率100%，保障执法决定合法性与适当性。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二、行政执法情况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（一）行政检查情况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全年共组织各类监督检查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174</w:t>
      </w:r>
      <w:r>
        <w:rPr>
          <w:rFonts w:hint="eastAsia" w:ascii="仿宋" w:hAnsi="仿宋" w:eastAsia="仿宋" w:cs="仿宋"/>
          <w:sz w:val="32"/>
          <w:szCs w:val="32"/>
        </w:rPr>
        <w:t>次，其中通过“双随机、一公开”模式抽查单位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sz w:val="32"/>
          <w:szCs w:val="32"/>
        </w:rPr>
        <w:t>家，抽查结果公示率100%；累计发现火灾隐患或违法行为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 w:cs="仿宋"/>
          <w:sz w:val="32"/>
          <w:szCs w:val="32"/>
        </w:rPr>
        <w:t>处，督促整改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235</w:t>
      </w:r>
      <w:r>
        <w:rPr>
          <w:rFonts w:hint="eastAsia" w:ascii="仿宋" w:hAnsi="仿宋" w:eastAsia="仿宋" w:cs="仿宋"/>
          <w:sz w:val="32"/>
          <w:szCs w:val="32"/>
        </w:rPr>
        <w:t>处，整改率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%，下发《责令改正通知书》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</w:t>
      </w:r>
      <w:r>
        <w:rPr>
          <w:rFonts w:hint="eastAsia" w:ascii="仿宋" w:hAnsi="仿宋" w:eastAsia="仿宋" w:cs="仿宋"/>
          <w:sz w:val="32"/>
          <w:szCs w:val="32"/>
        </w:rPr>
        <w:t>份。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0" w:name="OLE_LINK1"/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</w:t>
      </w:r>
      <w:bookmarkEnd w:id="0"/>
      <w:r>
        <w:rPr>
          <w:rFonts w:hint="eastAsia" w:ascii="楷体" w:hAnsi="楷体" w:eastAsia="楷体" w:cs="楷体"/>
          <w:sz w:val="32"/>
          <w:szCs w:val="32"/>
        </w:rPr>
        <w:t>行政处罚情况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全年立案查处行政处罚案件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件，同比上年下降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%；作出处罚决定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件，其中一般程序案件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件、简易程序案件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件；罚没款总额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52000</w:t>
      </w:r>
      <w:r>
        <w:rPr>
          <w:rFonts w:hint="eastAsia" w:ascii="仿宋" w:hAnsi="仿宋" w:eastAsia="仿宋" w:cs="仿宋"/>
          <w:sz w:val="32"/>
          <w:szCs w:val="32"/>
        </w:rPr>
        <w:t>万元，同比上年下降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当事人主动履行率100%。落实“首违不罚、轻微免罚”清单制度，对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家单位的轻微违法行为不予处罚，指导整改到位。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）火灾调查情况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开展火灾调查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起，其中一般程序调查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件、简易程序调查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件，火灾原因查明率100%。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）诉求响应情况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全年处理12345投诉举报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件，核查率100%；开展执法回访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次，群众满意率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%；受理信访事项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件，办结率100%，未发现执法不公、“微腐败”等问题。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、重点执法工作开展情况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/>
        </w:rPr>
        <w:t>“拆窗破网”专项行动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累计排查发现隐患131处，完成整改面积491.5平方米，隐患整改率达98%，有效打通建筑消防疏散通道和灭火救援通道，整改成效显著。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/>
        </w:rPr>
        <w:t>养老院整治</w:t>
      </w:r>
    </w:p>
    <w:p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2025年开展养老机构隐患排查专项行动，对辖区4家养老机构检查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次，发现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处隐患问题，目前已全部整改完毕，保障老年群体居住安全。</w:t>
      </w:r>
    </w:p>
    <w:p>
      <w:pPr>
        <w:numPr>
          <w:ilvl w:val="0"/>
          <w:numId w:val="0"/>
        </w:numPr>
        <w:spacing w:line="360" w:lineRule="auto"/>
        <w:ind w:firstLine="643" w:firstLineChars="200"/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ascii="华文仿宋" w:hAnsi="华文仿宋" w:eastAsia="华文仿宋"/>
          <w:b/>
          <w:bCs/>
          <w:sz w:val="32"/>
          <w:szCs w:val="32"/>
        </w:rPr>
        <w:t>高层建筑消防设施整治工作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按照《全市高层建筑重大火灾风险专项整治工作方案》的通知要求，江北大队对辖区内5栋高层建筑进行全面的排查整治工作，下达服务指导告知书5份，指导单位落实主体责任、积极组织日常消防演练、禁止违反燃气安全使用规定、严禁擅自安装、改装、拆除燃气设备和用具、禁止在其外墙周围堆放可燃物、禁止占用消防车通道等。同时，对高层建筑管理人、主要负责人开展谈话提醒和警示教育，督促其强化消防安全管理，加强对消防控制室值班人员、电工等重点岗位人员进行专业培训，提高消防设施操作和应急处置能力。此次高层专项整治工作中，经贸大厦通过自查自改，更换了气体灭火装置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华文仿宋" w:hAnsi="华文仿宋" w:eastAsia="华文仿宋" w:cs="宋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华文仿宋" w:hAnsi="华文仿宋" w:eastAsia="华文仿宋" w:cs="宋体"/>
          <w:b/>
          <w:bCs/>
          <w:sz w:val="32"/>
          <w:szCs w:val="32"/>
        </w:rPr>
        <w:t>全面开展化工企业排查治理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b w:val="0"/>
          <w:bCs w:val="0"/>
          <w:sz w:val="32"/>
          <w:szCs w:val="32"/>
        </w:rPr>
        <w:t>辖区内23家石油化工企业、183</w:t>
      </w:r>
      <w:r>
        <w:rPr>
          <w:rFonts w:hint="eastAsia" w:ascii="华文仿宋" w:hAnsi="华文仿宋" w:eastAsia="华文仿宋" w:cs="宋体"/>
          <w:sz w:val="32"/>
          <w:szCs w:val="32"/>
        </w:rPr>
        <w:t>处重大危险源进行全面排查，集中整治化工原料生产储存、消防设施、消防管理、消防培训等方面存在的问题。对存在重大危险源的23家化工企业逐一开展消防演练，组织石化企业的全体员工观看警示教育片，宣讲火灾风险和致灾因素，警示全体员工时刻注意消防安全，自觉杜绝违章操作、私自动火等危险行为，共同遵守消防安全制度。严格落实约谈制度，疫情防控期间，对石化企业消防安全责任人和管理人定期开展线上约谈，进一步明确主体责任，督促提醒石化企业时刻将消防安全工作放在首要位置。督促企业100%建立专职消防队和工艺处置队，逐座化工装置开展微型站、小型站、现役站联勤联动、实战实装演练，保证实现1分钟响应、3分钟到场、5分钟扑灭初期火灾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  <w:r>
        <w:rPr>
          <w:rFonts w:hint="eastAsia" w:ascii="华文仿宋" w:hAnsi="华文仿宋" w:eastAsia="华文仿宋" w:cs="宋体"/>
          <w:b/>
          <w:bCs/>
          <w:sz w:val="32"/>
          <w:szCs w:val="32"/>
          <w:lang w:val="en-US" w:eastAsia="zh-CN"/>
        </w:rPr>
        <w:t xml:space="preserve">施工工地安全管控    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 xml:space="preserve"> 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针对吉林石化转型升级等重点项目施工，大队对项目部责任人和管理人开展集体约谈，部署动火动焊安全要求；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年以来，重点监管西部40万吨ABS、20万吨ABS及丙烯腈等工地，加强电气焊作业现场监督，确保施工期间消防安全。同时，推进消防车道规范化建设，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建立临时消防水源，有效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保障应急救援畅通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六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）群防群治基础筑牢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围绕“消防宣传五进”开展活动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场，直接覆盖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人次；利用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大屏幕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滚动播放防火常识；发放宣传手册、海报等资料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余份。组织重点单位消防安全责任人、管理人专项培训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期，参训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人次；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参与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实战化灭火疏散演练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次，参与人员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5000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人次，提升重点人群应急处置能力。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、存在的问题与不足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（一）社会单位主体责任落实不均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重效益、轻安全”思想根深蒂固，消防安全管理制度不健全，员工安全培训缺失，动态火灾隐患反复出现，“检查时改、检查后犯”的现象仍未彻底根治。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</w:rPr>
        <w:t>）基层执法力量供需矛盾突出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基层执法人员人均监管单位数量庞大，“人少事多”的矛盾较为突出，加之部分执法人员面对复杂案件时的专业能力不足，导致执法工作的精细化、深度化水平受到一定制约。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）科技执法应用不够充分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物联网远程监控、大数据分析等科技手段的应用范围仍需扩大，部分偏远地区、小型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sz w:val="32"/>
          <w:szCs w:val="32"/>
        </w:rPr>
        <w:t>的科技监管覆盖不足；执法数据的整合分析能力有待提升，未能充分发挥数据赋能风险预判、精准监管的作用。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五、工作成效与下一步计划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下一步，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吉林化学工业循环经济示范园区消防救援大队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将继续聚焦重点领域和薄弱环节，一是持续优化智慧监管一体化平台功能，拓展应用场景；二是深化专项整治行动，建立隐患排查治理长效机制；三是加强消防宣传培训，提升全民消防安全素养；为辖区经济社会发展和人民群众生命财产安全保驾护航。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2320" w:firstLineChars="725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吉林化学工业循环经济示范园区消防救援大队</w:t>
      </w:r>
    </w:p>
    <w:p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112" w:firstLineChars="191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2026年2月5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0B65D60"/>
    <w:rsid w:val="02206AB0"/>
    <w:rsid w:val="036100D6"/>
    <w:rsid w:val="05CF76EB"/>
    <w:rsid w:val="09520320"/>
    <w:rsid w:val="0ECD2545"/>
    <w:rsid w:val="10161B5F"/>
    <w:rsid w:val="10A037B9"/>
    <w:rsid w:val="1BED5701"/>
    <w:rsid w:val="20D247C4"/>
    <w:rsid w:val="26F61D43"/>
    <w:rsid w:val="27635231"/>
    <w:rsid w:val="285F182F"/>
    <w:rsid w:val="2A786C35"/>
    <w:rsid w:val="30C263FD"/>
    <w:rsid w:val="31B3148B"/>
    <w:rsid w:val="37705AE4"/>
    <w:rsid w:val="398E22F8"/>
    <w:rsid w:val="3B0E5C37"/>
    <w:rsid w:val="3C600D12"/>
    <w:rsid w:val="3D050957"/>
    <w:rsid w:val="3E354320"/>
    <w:rsid w:val="462128EA"/>
    <w:rsid w:val="4795165C"/>
    <w:rsid w:val="48D269E1"/>
    <w:rsid w:val="4AF43364"/>
    <w:rsid w:val="50CC5AA3"/>
    <w:rsid w:val="516F6B35"/>
    <w:rsid w:val="52960B01"/>
    <w:rsid w:val="52D27A87"/>
    <w:rsid w:val="57792B71"/>
    <w:rsid w:val="59C22614"/>
    <w:rsid w:val="5D135ACB"/>
    <w:rsid w:val="5FA576B6"/>
    <w:rsid w:val="640718FA"/>
    <w:rsid w:val="686A5508"/>
    <w:rsid w:val="6A6A4A55"/>
    <w:rsid w:val="6CD773AA"/>
    <w:rsid w:val="6E9952C2"/>
    <w:rsid w:val="6FC63AA6"/>
    <w:rsid w:val="71AA6B13"/>
    <w:rsid w:val="7A0F17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3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paragraph" w:styleId="9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sz w:val="20"/>
      <w:szCs w:val="20"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styleId="12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Calibri" w:hAnsi="Calibri" w:eastAsia="宋体" w:cs="Times New Roman"/>
      <w:sz w:val="21"/>
      <w:szCs w:val="22"/>
    </w:rPr>
  </w:style>
  <w:style w:type="character" w:customStyle="1" w:styleId="15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42</TotalTime>
  <ScaleCrop>false</ScaleCrop>
  <LinksUpToDate>false</LinksUpToDate>
  <Application>WPS Office_10.8.2.6837_F1E327BC-269C-435d-A152-05C5408002CA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2026-02-06T00:18:00Z</dcterms:created>
  <dc:creator>Un-named</dc:creator>
  <cp:lastModifiedBy>Administrator</cp:lastModifiedBy>
  <dcterms:modified xsi:type="dcterms:W3CDTF">2026-02-09T03:09:23Z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