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龙潭区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新吉林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街道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2023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40" w:lineRule="exact"/>
        <w:jc w:val="center"/>
        <w:textAlignment w:val="auto"/>
        <w:rPr>
          <w:rFonts w:ascii="楷体" w:hAnsi="楷体" w:eastAsia="楷体" w:cs="楷体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根据《中华人民共和国政府信息公开条例》（以下简称《条例》）的规定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我街道编制了吉林市龙潭区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新吉林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街道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年政府信息公开工作年度报告（以下简称《年报》）。本年报由总体情况、主动公开政府信息情况、收到和处理政府信息公开申请情况、政府信息公开行政复议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行政诉讼情况、存在的主要问题及改进情况、其他需要报告的事项等六部分组成。报告中所列数据的统计时限为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年1月1日起至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年12月31日止。本年报通过吉林市龙潭区人民政府网站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政府信息公开专栏向社会公开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（http://xxgk.longtan.gov.cn/）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。欢迎社会各界进行监督、提出意见，欢迎广大机关、企事业单位、科研院所和人民群众参阅使用。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如对报告有疑问，请及时联系吉林市龙潭区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新吉林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街道办事处信息公开办公室（地址:吉林省吉林市龙潭区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郑州路新工二条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，邮编：13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0432-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63041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971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年，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新吉林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街道紧紧围绕改革发展稳定的大局，按照区政府的统一部署，把开展政务公开作为密切党群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干群关系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加强机关建设的重要突破口和载体，不断加强领导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规范运作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强化监督，政务公开的常态长效机制基本确立。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组织推动全省政府信息公开工作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街道党工委高度重视政务公开工作，办事处成立并不断调整充实由办事处主任任组长、各科室主要负责人为成员的政务公开工作领导小组，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下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设办公室，具体负责政务公开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组织、协调、督促检查工作。政务公开工作在街道、社区的组织领导逐步得到加强，工作机制不断完善，工作氛围日益浓厚，确保了这项工作的有序开展和深入推进。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</w:rPr>
        <w:t>（二）</w:t>
      </w:r>
      <w:r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  <w:lang w:val="en-US" w:eastAsia="zh-CN"/>
        </w:rPr>
        <w:t>积极推动政府信息主动公开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按照《条例》的要求，结合我街道实际情况，建立了政府信息公开相关的工作机制。强化政府信息公开的保密工作，做到该公开的全部公开，该保密的坚决保密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加强制度建设，确保责任到位。实行首办负责制，来人来电来访均由首问第一人负责接待，将所办事项转交有关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科室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或有关人员办理。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</w:rPr>
        <w:t>（三）</w:t>
      </w:r>
      <w:r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  <w:lang w:val="en-US" w:eastAsia="zh-CN"/>
        </w:rPr>
        <w:t>认真规范处理依申请公开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按照《条例》和上级部门要求，遵循公正、公开、便民的原则，不断完善政府信息公开指南和公开目录。街道采取四项措施加强查阅点建设。一是将强场所建设。二是加强资源建设。三是加强服务能力建设。四是扩大信息查阅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</w:rPr>
        <w:t>（四）</w:t>
      </w:r>
      <w:r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  <w:lang w:val="en-US" w:eastAsia="zh-CN"/>
        </w:rPr>
        <w:t>不断强化政府信息公开平台内容保障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为深入推行政府信息公开，转变政府职能，保障居民对我街道事务的知情权、监督权和参与权，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我街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充分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使用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龙潭区政府信息公开网站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将规章、规范性文件、服务细则、机构设置、工作职责、工作目标及其完成情况等均及时上传，实现了不涉密的政务信息全部公开。搭建了方便群众获取信息、办理事务的平台。使公众可以通过网络方便的查询、了解政策法规、工作流程等公开的信息。并且在街道办事大厅，通过公开栏等方式公开街道办事指南、办事流程图等，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在街道入口处通过展示板公示街道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内设机构分布情况、工作职责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</w:rPr>
        <w:t>（五）</w:t>
      </w:r>
      <w:r>
        <w:rPr>
          <w:rFonts w:hint="eastAsia" w:ascii="楷体" w:hAnsi="楷体" w:eastAsia="楷体" w:cs="楷体"/>
          <w:bCs/>
          <w:color w:val="333333"/>
          <w:sz w:val="24"/>
          <w:szCs w:val="24"/>
          <w:shd w:val="clear" w:color="auto" w:fill="FFFFFF"/>
          <w:lang w:val="en-US" w:eastAsia="zh-CN"/>
        </w:rPr>
        <w:t>全力做好宣传培训评估考核等基础工作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开展政务公开宣传活动，通过电子显示屏、标语等形式积极宣传工作职责、服务承诺等，向群众宣传、讲解政务公开的内容和意义，为群众答疑解惑。积极组织人员政务公开业务工作培训。通过接受系统培训和部门间交流，指导政务公开工作人员认清政务公开工作新形势、新要求，掌握政务公开考核评估指标重点、难点问题。严格落实信息公开评估考核工作，实行对内公开固定化，对外公开动态化，尽可能地向公众公开不涉及机关秘密的政务信息，实行阳光下的政务信息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  <w:lang w:eastAsia="zh-CN"/>
        </w:rPr>
        <w:t>二、主动公开政府信息的情况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</w:rPr>
      </w:pPr>
    </w:p>
    <w:tbl>
      <w:tblPr>
        <w:tblStyle w:val="2"/>
        <w:tblpPr w:leftFromText="180" w:rightFromText="180" w:vertAnchor="text" w:horzAnchor="page" w:tblpX="1572" w:tblpY="315"/>
        <w:tblOverlap w:val="never"/>
        <w:tblW w:w="90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  <w:lang w:eastAsia="zh-CN"/>
        </w:rPr>
        <w:t>三、行政机关收到和处理政府信息公开申请的情况</w:t>
      </w:r>
    </w:p>
    <w:tbl>
      <w:tblPr>
        <w:tblStyle w:val="2"/>
        <w:tblpPr w:leftFromText="180" w:rightFromText="180" w:vertAnchor="text" w:horzAnchor="page" w:tblpX="1512" w:tblpY="325"/>
        <w:tblOverlap w:val="never"/>
        <w:tblW w:w="907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  <w:lang w:eastAsia="zh-CN"/>
        </w:rPr>
        <w:t>四、因政府信息公开工作被申请行政复议，提起行政诉讼的情况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  <w:lang w:eastAsia="zh-CN"/>
        </w:rPr>
      </w:pP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年，我街道政府信息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val="en-US" w:eastAsia="zh-CN"/>
        </w:rPr>
        <w:t>公开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工作存在的主要不足：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一是发布的政府信息还不够全面；二是对政府信息公开工作的宣传不到位，很多居民不了解政府信息公开工作，并且不知道获取信息的正确途径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val="en-US" w:eastAsia="zh-CN"/>
        </w:rPr>
        <w:t>三是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对</w:t>
      </w:r>
      <w:r>
        <w:rPr>
          <w:rFonts w:hint="default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政务公开的界定还不够明确，并存在公开不及时的情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val="en-US" w:eastAsia="zh-CN"/>
        </w:rPr>
        <w:t>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针对存在的问题，下一步，我们将抓好以下几个方面的工作：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val="en-US" w:eastAsia="zh-CN"/>
        </w:rPr>
        <w:t>意识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我街道的政务公开工作将继续进一步规范政务公开的内容和形式，加强重点领域信息公开，提升政府信息公开标准化规范化水平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val="en-US" w:eastAsia="zh-CN"/>
        </w:rPr>
        <w:t>二是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尽快提高工作人员为人民服务的整体工作质量，及时做好动态更新工作，提升信息发布的时效性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确保政务公开工作真正落到实处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val="en-US" w:eastAsia="zh-CN"/>
        </w:rPr>
        <w:t>三是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进一步规范和完善政务公开的内容、形式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，对涉及人民群众关心的重大问题、重大决策应及时公开，同时有区别地抓好对内与对外公开，提高公开针对性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sz w:val="24"/>
          <w:szCs w:val="24"/>
          <w:shd w:val="clear" w:color="auto" w:fill="FFFFFF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（一）政府信息公开工作专门机构数。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年街道及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所辖新工、新义、新北三个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社区设立政府信息公开工作机构共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（二）设置政府信息公开查阅点数。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年街道及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所辖三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个社区设立政府信息公开查阅点共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（三）政府信息公开专项经费。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  <w:lang w:eastAsia="zh-CN"/>
        </w:rPr>
        <w:t>2023</w:t>
      </w: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年街道没有用于政府信息公开工作的专项经费。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（四）从事政府信息公开工作人员数。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  <w:t>目前阶段专门从事政府信息公开具体工作人员1人，无兼职人员。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333333"/>
          <w:sz w:val="24"/>
          <w:szCs w:val="24"/>
          <w:shd w:val="clear" w:color="auto" w:fill="FFFFFF"/>
        </w:rPr>
      </w:pPr>
    </w:p>
    <w:p/>
    <w:sectPr>
      <w:pgSz w:w="11906" w:h="16838"/>
      <w:pgMar w:top="1701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ZTBmNzFhNzI1MTRkMTRlNDY0MGY1ZTYxZTc3MzkifQ=="/>
  </w:docVars>
  <w:rsids>
    <w:rsidRoot w:val="12005A3F"/>
    <w:rsid w:val="12005A3F"/>
    <w:rsid w:val="1DC16975"/>
    <w:rsid w:val="22AC7448"/>
    <w:rsid w:val="2B347DC7"/>
    <w:rsid w:val="2B3F5BF5"/>
    <w:rsid w:val="32BA5126"/>
    <w:rsid w:val="516248D9"/>
    <w:rsid w:val="63207781"/>
    <w:rsid w:val="7D4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2692</Words>
  <Characters>2789</Characters>
  <Lines>0</Lines>
  <Paragraphs>0</Paragraphs>
  <TotalTime>6</TotalTime>
  <ScaleCrop>false</ScaleCrop>
  <LinksUpToDate>false</LinksUpToDate>
  <CharactersWithSpaces>2789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2022-01-05T06:20:00Z</dcterms:created>
  <dc:creator>超萌傲娇怪</dc:creator>
  <cp:lastModifiedBy>一T小笼包</cp:lastModifiedBy>
  <dcterms:modified xsi:type="dcterms:W3CDTF">2024-01-30T05:17:21Z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E90D30C6DD5741039342D1B1659DBC95</vt:lpwstr>
  </property>
</Properties>
</file>