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3"/>
        </w:tabs>
        <w:spacing w:before="156" w:beforeLines="50" w:after="156" w:afterLines="50" w:line="70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w:t>
      </w:r>
    </w:p>
    <w:p>
      <w:pPr>
        <w:widowControl/>
        <w:spacing w:before="156" w:beforeLines="50" w:after="156" w:afterLines="50" w:line="700" w:lineRule="exact"/>
        <w:jc w:val="center"/>
        <w:rPr>
          <w:rFonts w:hint="eastAsia" w:ascii="楷体" w:hAnsi="楷体" w:eastAsia="楷体" w:cs="楷体"/>
          <w:b/>
          <w:kern w:val="0"/>
          <w:sz w:val="32"/>
          <w:szCs w:val="32"/>
        </w:rPr>
      </w:pPr>
      <w:r>
        <w:rPr>
          <w:rFonts w:hint="eastAsia" w:ascii="方正小标宋简体" w:hAnsi="方正小标宋简体" w:eastAsia="方正小标宋简体" w:cs="方正小标宋简体"/>
          <w:b/>
          <w:kern w:val="0"/>
          <w:sz w:val="44"/>
          <w:szCs w:val="44"/>
        </w:rPr>
        <w:t>舒兰市深化医药卫生体制改革2018年重点工作任务台账</w:t>
      </w:r>
    </w:p>
    <w:tbl>
      <w:tblPr>
        <w:tblStyle w:val="6"/>
        <w:tblW w:w="14571"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526"/>
        <w:gridCol w:w="5046"/>
        <w:gridCol w:w="15"/>
        <w:gridCol w:w="3780"/>
        <w:gridCol w:w="190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574" w:type="dxa"/>
            <w:vAlign w:val="center"/>
          </w:tcPr>
          <w:p>
            <w:pPr>
              <w:widowControl/>
              <w:spacing w:line="440" w:lineRule="exact"/>
              <w:ind w:left="-63" w:leftChars="-30" w:right="-63" w:rightChars="-30"/>
              <w:jc w:val="center"/>
              <w:rPr>
                <w:rFonts w:hint="eastAsia" w:ascii="仿宋_GB2312" w:hAnsi="仿宋" w:eastAsia="仿宋_GB2312" w:cs="仿宋"/>
                <w:bCs/>
                <w:kern w:val="0"/>
                <w:szCs w:val="21"/>
              </w:rPr>
            </w:pPr>
            <w:r>
              <w:rPr>
                <w:rFonts w:hint="eastAsia" w:ascii="仿宋_GB2312" w:hAnsi="仿宋" w:eastAsia="仿宋_GB2312" w:cs="仿宋"/>
                <w:bCs/>
                <w:kern w:val="0"/>
                <w:szCs w:val="21"/>
              </w:rPr>
              <w:t>序号</w:t>
            </w:r>
          </w:p>
        </w:tc>
        <w:tc>
          <w:tcPr>
            <w:tcW w:w="1526" w:type="dxa"/>
            <w:vAlign w:val="center"/>
          </w:tcPr>
          <w:p>
            <w:pPr>
              <w:widowControl/>
              <w:spacing w:line="440" w:lineRule="exact"/>
              <w:ind w:left="-30" w:right="-30"/>
              <w:jc w:val="center"/>
              <w:rPr>
                <w:rFonts w:hint="eastAsia" w:ascii="仿宋_GB2312" w:hAnsi="仿宋" w:eastAsia="仿宋_GB2312" w:cs="仿宋"/>
                <w:bCs/>
                <w:kern w:val="0"/>
                <w:szCs w:val="21"/>
              </w:rPr>
            </w:pPr>
            <w:r>
              <w:rPr>
                <w:rFonts w:hint="eastAsia" w:ascii="仿宋_GB2312" w:hAnsi="仿宋" w:eastAsia="仿宋_GB2312" w:cs="仿宋"/>
                <w:bCs/>
                <w:kern w:val="0"/>
                <w:szCs w:val="21"/>
              </w:rPr>
              <w:t>重点任务</w:t>
            </w:r>
          </w:p>
        </w:tc>
        <w:tc>
          <w:tcPr>
            <w:tcW w:w="5046" w:type="dxa"/>
            <w:vAlign w:val="center"/>
          </w:tcPr>
          <w:p>
            <w:pPr>
              <w:widowControl/>
              <w:spacing w:line="440" w:lineRule="exact"/>
              <w:ind w:left="-30" w:right="-30"/>
              <w:jc w:val="center"/>
              <w:rPr>
                <w:rFonts w:hint="eastAsia" w:ascii="仿宋_GB2312" w:hAnsi="仿宋" w:eastAsia="仿宋_GB2312" w:cs="仿宋"/>
                <w:bCs/>
                <w:kern w:val="0"/>
                <w:szCs w:val="21"/>
              </w:rPr>
            </w:pPr>
            <w:r>
              <w:rPr>
                <w:rFonts w:hint="eastAsia" w:ascii="仿宋_GB2312" w:hAnsi="仿宋" w:eastAsia="仿宋_GB2312" w:cs="仿宋"/>
                <w:bCs/>
                <w:kern w:val="0"/>
                <w:szCs w:val="21"/>
              </w:rPr>
              <w:t>具体工作</w:t>
            </w:r>
          </w:p>
        </w:tc>
        <w:tc>
          <w:tcPr>
            <w:tcW w:w="3795" w:type="dxa"/>
            <w:gridSpan w:val="2"/>
            <w:vAlign w:val="center"/>
          </w:tcPr>
          <w:p>
            <w:pPr>
              <w:widowControl/>
              <w:spacing w:line="440" w:lineRule="exact"/>
              <w:ind w:left="-30" w:right="-30"/>
              <w:jc w:val="center"/>
              <w:rPr>
                <w:rFonts w:hint="eastAsia" w:ascii="仿宋_GB2312" w:hAnsi="仿宋" w:eastAsia="仿宋_GB2312" w:cs="仿宋"/>
                <w:bCs/>
                <w:kern w:val="0"/>
                <w:szCs w:val="21"/>
              </w:rPr>
            </w:pPr>
            <w:r>
              <w:rPr>
                <w:rFonts w:hint="eastAsia" w:ascii="仿宋_GB2312" w:hAnsi="仿宋" w:eastAsia="仿宋_GB2312" w:cs="仿宋"/>
                <w:bCs/>
                <w:kern w:val="0"/>
                <w:szCs w:val="21"/>
              </w:rPr>
              <w:t>工作措施</w:t>
            </w:r>
          </w:p>
        </w:tc>
        <w:tc>
          <w:tcPr>
            <w:tcW w:w="1905" w:type="dxa"/>
            <w:vAlign w:val="center"/>
          </w:tcPr>
          <w:p>
            <w:pPr>
              <w:widowControl/>
              <w:spacing w:line="440" w:lineRule="exact"/>
              <w:ind w:left="-30" w:right="-30"/>
              <w:jc w:val="center"/>
              <w:rPr>
                <w:rFonts w:hint="eastAsia" w:ascii="仿宋_GB2312" w:hAnsi="仿宋" w:eastAsia="仿宋_GB2312" w:cs="仿宋"/>
                <w:bCs/>
                <w:kern w:val="0"/>
                <w:szCs w:val="21"/>
              </w:rPr>
            </w:pPr>
            <w:r>
              <w:rPr>
                <w:rFonts w:hint="eastAsia" w:ascii="仿宋_GB2312" w:hAnsi="仿宋" w:eastAsia="仿宋_GB2312" w:cs="仿宋"/>
                <w:bCs/>
                <w:kern w:val="0"/>
                <w:szCs w:val="21"/>
              </w:rPr>
              <w:t>责任部门</w:t>
            </w:r>
          </w:p>
        </w:tc>
        <w:tc>
          <w:tcPr>
            <w:tcW w:w="1725" w:type="dxa"/>
            <w:vAlign w:val="center"/>
          </w:tcPr>
          <w:p>
            <w:pPr>
              <w:widowControl/>
              <w:spacing w:line="440" w:lineRule="exact"/>
              <w:ind w:left="-30" w:right="-30"/>
              <w:jc w:val="center"/>
              <w:rPr>
                <w:rFonts w:hint="eastAsia" w:ascii="仿宋_GB2312" w:hAnsi="仿宋" w:eastAsia="仿宋_GB2312" w:cs="仿宋"/>
                <w:bCs/>
                <w:kern w:val="0"/>
                <w:szCs w:val="21"/>
              </w:rPr>
            </w:pPr>
            <w:r>
              <w:rPr>
                <w:rFonts w:hint="eastAsia" w:ascii="仿宋_GB2312" w:hAnsi="仿宋" w:eastAsia="仿宋_GB2312" w:cs="仿宋"/>
                <w:bCs/>
                <w:kern w:val="0"/>
                <w:szCs w:val="21"/>
              </w:rPr>
              <w:t>市卫生计生局</w:t>
            </w:r>
            <w:r>
              <w:rPr>
                <w:rFonts w:hint="eastAsia" w:ascii="仿宋_GB2312" w:hAnsi="仿宋" w:eastAsia="仿宋_GB2312" w:cs="仿宋"/>
                <w:bCs/>
                <w:kern w:val="0"/>
                <w:szCs w:val="21"/>
              </w:rPr>
              <w:br w:type="textWrapping"/>
            </w:r>
            <w:r>
              <w:rPr>
                <w:rFonts w:hint="eastAsia" w:ascii="仿宋_GB2312" w:hAnsi="仿宋" w:eastAsia="仿宋_GB2312" w:cs="仿宋"/>
                <w:bCs/>
                <w:kern w:val="0"/>
                <w:szCs w:val="21"/>
              </w:rPr>
              <w:t>牵头处室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74"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1</w:t>
            </w:r>
          </w:p>
        </w:tc>
        <w:tc>
          <w:tcPr>
            <w:tcW w:w="152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统筹推进政府主导的多层次医疗联合体。</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研究持续推进医联体建设的长效工作机制，建立指标考核激励制度。鼓励中医医院、社会办医疗机构及康复、护理等机构承担医疗联合体建设。落实医疗机构功能定位和工作任务，优化医疗资源结构和布局。评估分级诊疗提升服务能力行动计划实施效果。</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1.落实舒兰市人民政府办公厅印发的舒兰市推进多层次医疗联合体建设实施方案。</w:t>
            </w:r>
          </w:p>
          <w:p>
            <w:pPr>
              <w:widowControl/>
              <w:rPr>
                <w:rFonts w:hint="eastAsia" w:ascii="仿宋_GB2312" w:hAnsi="仿宋" w:eastAsia="仿宋_GB2312" w:cs="仿宋"/>
                <w:kern w:val="0"/>
                <w:szCs w:val="21"/>
              </w:rPr>
            </w:pPr>
            <w:r>
              <w:rPr>
                <w:rFonts w:hint="eastAsia" w:ascii="仿宋_GB2312" w:hAnsi="仿宋" w:eastAsia="仿宋_GB2312" w:cs="仿宋"/>
                <w:kern w:val="0"/>
                <w:szCs w:val="21"/>
              </w:rPr>
              <w:t>2.开展医联体备案管理。</w:t>
            </w:r>
          </w:p>
          <w:p>
            <w:pPr>
              <w:widowControl/>
              <w:rPr>
                <w:rFonts w:hint="eastAsia" w:ascii="仿宋_GB2312" w:hAnsi="仿宋" w:eastAsia="仿宋_GB2312" w:cs="仿宋"/>
                <w:kern w:val="0"/>
                <w:szCs w:val="21"/>
              </w:rPr>
            </w:pPr>
            <w:r>
              <w:rPr>
                <w:rFonts w:hint="eastAsia" w:ascii="仿宋_GB2312" w:hAnsi="仿宋" w:eastAsia="仿宋_GB2312" w:cs="仿宋"/>
                <w:kern w:val="0"/>
                <w:szCs w:val="21"/>
              </w:rPr>
              <w:t>3.开展医联体评价考核。</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市发改局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市财政局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市人社局</w:t>
            </w:r>
            <w:r>
              <w:rPr>
                <w:rFonts w:hint="eastAsia" w:ascii="仿宋_GB2312" w:hAnsi="仿宋" w:eastAsia="仿宋_GB2312" w:cs="仿宋"/>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74"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2</w:t>
            </w:r>
          </w:p>
        </w:tc>
        <w:tc>
          <w:tcPr>
            <w:tcW w:w="152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加快推进县级医共体建设。</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推进全市县级医共体建设，鼓励社会办医疗机构参加医共体建设。</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要求至少开展1个医共体建设试点。</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市人社局</w:t>
            </w:r>
          </w:p>
        </w:tc>
        <w:tc>
          <w:tcPr>
            <w:tcW w:w="1725" w:type="dxa"/>
            <w:vAlign w:val="center"/>
          </w:tcPr>
          <w:p>
            <w:pPr>
              <w:widowControl/>
              <w:spacing w:line="440" w:lineRule="exact"/>
              <w:ind w:right="-30"/>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0" w:hRule="atLeast"/>
        </w:trPr>
        <w:tc>
          <w:tcPr>
            <w:tcW w:w="574"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3</w:t>
            </w:r>
          </w:p>
        </w:tc>
        <w:tc>
          <w:tcPr>
            <w:tcW w:w="152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做实做细家庭医生签约服务。</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巩固家庭医生签约服务覆盖面，扎实做好老年人、儿童、孕产妇、残疾人以及高血压、糖尿病、结核病等慢性疾病、严重精神障碍患者等重点人群签约服务。建档立卡农村贫困人口和计划生育特殊家庭签约服务覆盖率达到100%。在稳定现有签约数量的基础上，重点提高签约服务质量。积极推进家庭医生签约服务与门诊统筹、门诊慢性病政策的衔接。完善激励机制，开展家庭医生签约服务效果评价。</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召开家庭医生签约服务工作启动会，制定下发工作实施方案，科学制定服务包，按照协议内容提供服务。建立家庭医生签约服务团队，</w:t>
            </w:r>
            <w:r>
              <w:rPr>
                <w:rFonts w:hint="eastAsia" w:ascii="仿宋_GB2312" w:hAnsi="仿宋" w:eastAsia="仿宋_GB2312" w:cs="仿宋"/>
                <w:bCs/>
                <w:szCs w:val="21"/>
              </w:rPr>
              <w:t>制定预约诊疗与转诊服务制度。公示可开展的诊疗服务病种。家庭医生与签约居民建立良好的沟通联系（微信群、APP等）。制定下发建档立卡贫困人口签约服务工作方案，明确签约范围、进度和内容。签约对象应签尽签。根据贫困群众不同健康状况，确定服务内容。2018年9月底前，完成85%以上，11月15日前，完成签约服务覆盖率100%。按月上报进展情况。</w:t>
            </w:r>
          </w:p>
          <w:p>
            <w:pPr>
              <w:widowControl/>
              <w:rPr>
                <w:rFonts w:hint="eastAsia" w:ascii="仿宋_GB2312" w:hAnsi="仿宋" w:eastAsia="仿宋_GB2312" w:cs="仿宋"/>
                <w:kern w:val="0"/>
                <w:szCs w:val="21"/>
              </w:rPr>
            </w:pP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市人社局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市财政局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市发改局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市残联</w:t>
            </w:r>
            <w:r>
              <w:rPr>
                <w:rFonts w:hint="eastAsia" w:ascii="仿宋_GB2312" w:hAnsi="仿宋" w:eastAsia="仿宋_GB2312" w:cs="仿宋"/>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社区办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4</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持续提升基层卫生服务能力。</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启动优质服务基层行活动，着力提升乡镇卫生院和社区卫生服务中心服务能力和水平。</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卫生计生行政部门</w:t>
            </w:r>
            <w:r>
              <w:rPr>
                <w:rFonts w:hint="eastAsia" w:ascii="仿宋_GB2312" w:hAnsi="仿宋" w:eastAsia="仿宋_GB2312" w:cs="仿宋"/>
                <w:bCs/>
                <w:szCs w:val="21"/>
              </w:rPr>
              <w:t>制定实施方案，实施方案具在可操作性，要明确服务能力提升项目内容（不是以文件落实文件），实施方案细化到每个基层医疗卫生机构具体提升项目（每个基层机构方案可作为附件），县级卫生行政部门争取到县政府统一支持政策（深化改革、投入资金购买设备、机构维修、人员统一培训等）。基层医疗卫生机构对照标准开展自查，自评分值；开展为期不少于6个月的整改提升。</w:t>
            </w:r>
          </w:p>
        </w:tc>
        <w:tc>
          <w:tcPr>
            <w:tcW w:w="1905" w:type="dxa"/>
            <w:vMerge w:val="restart"/>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市编办</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市发改局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市财政局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市人社局</w:t>
            </w:r>
            <w:r>
              <w:rPr>
                <w:rFonts w:hint="eastAsia" w:ascii="仿宋_GB2312" w:hAnsi="仿宋" w:eastAsia="仿宋_GB2312" w:cs="仿宋"/>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基层卫生科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加强基层医疗卫生机构标准化建设。</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统筹推进基层医疗卫生机构标准化建设，合理设定基层医疗卫生机构</w:t>
            </w:r>
            <w:r>
              <w:rPr>
                <w:rFonts w:hint="eastAsia" w:ascii="仿宋_GB2312" w:hAnsi="仿宋" w:eastAsia="仿宋_GB2312" w:cs="仿宋"/>
                <w:szCs w:val="21"/>
              </w:rPr>
              <w:t>建设规模及床位配置</w:t>
            </w:r>
            <w:r>
              <w:rPr>
                <w:rFonts w:hint="eastAsia" w:ascii="仿宋_GB2312" w:hAnsi="仿宋" w:eastAsia="仿宋_GB2312" w:cs="仿宋"/>
                <w:kern w:val="0"/>
                <w:szCs w:val="21"/>
              </w:rPr>
              <w:t>，协调推进基层医疗卫生机构人员、设备及诊疗科室建设</w:t>
            </w:r>
            <w:r>
              <w:rPr>
                <w:rFonts w:hint="eastAsia" w:ascii="仿宋_GB2312" w:hAnsi="仿宋" w:eastAsia="仿宋_GB2312" w:cs="仿宋"/>
                <w:szCs w:val="21"/>
              </w:rPr>
              <w:t>。</w:t>
            </w:r>
          </w:p>
        </w:tc>
        <w:tc>
          <w:tcPr>
            <w:tcW w:w="1905" w:type="dxa"/>
            <w:vMerge w:val="continue"/>
            <w:vAlign w:val="center"/>
          </w:tcPr>
          <w:p>
            <w:pPr>
              <w:widowControl/>
              <w:spacing w:line="440" w:lineRule="exact"/>
              <w:ind w:left="-30" w:right="-30"/>
              <w:jc w:val="left"/>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规划信息科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深入实施基层中医药服务能力提升工程，全市建设2-3个示范中医馆，推动中医馆建设提档升级。</w:t>
            </w:r>
          </w:p>
        </w:tc>
        <w:tc>
          <w:tcPr>
            <w:tcW w:w="3795" w:type="dxa"/>
            <w:gridSpan w:val="2"/>
            <w:vAlign w:val="center"/>
          </w:tcPr>
          <w:p>
            <w:pPr>
              <w:widowControl/>
              <w:tabs>
                <w:tab w:val="left" w:pos="1242"/>
              </w:tabs>
              <w:rPr>
                <w:rFonts w:hint="eastAsia" w:ascii="仿宋_GB2312" w:hAnsi="仿宋" w:eastAsia="仿宋_GB2312" w:cs="仿宋"/>
                <w:kern w:val="0"/>
                <w:szCs w:val="21"/>
              </w:rPr>
            </w:pPr>
            <w:r>
              <w:rPr>
                <w:rFonts w:hint="eastAsia" w:ascii="仿宋_GB2312" w:hAnsi="仿宋" w:eastAsia="仿宋_GB2312" w:cs="仿宋"/>
                <w:kern w:val="0"/>
                <w:szCs w:val="21"/>
              </w:rPr>
              <w:t>按照中医馆的标准化管理完善人员和配套设施建设。</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★卫生计生局</w:t>
            </w:r>
          </w:p>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kern w:val="0"/>
                <w:szCs w:val="21"/>
              </w:rPr>
              <w:t>市财政局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中医药管理科</w:t>
            </w:r>
            <w:r>
              <w:rPr>
                <w:rFonts w:hint="eastAsia" w:ascii="仿宋_GB2312" w:hAnsi="仿宋" w:eastAsia="仿宋_GB2312" w:cs="仿宋"/>
                <w:kern w:val="0"/>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8"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5</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巩固完善公立医院综合改革成果。</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完成公立医院全部取消药品加成后的运行情况阶段性总结评估，对落实不到位的政策进行整改。开展公立医院综合改革效果评价考核，考核结果与分配专项补助和奖励资金。科学控制医疗费用不合理增长。</w:t>
            </w:r>
          </w:p>
        </w:tc>
        <w:tc>
          <w:tcPr>
            <w:tcW w:w="3795" w:type="dxa"/>
            <w:gridSpan w:val="2"/>
            <w:vAlign w:val="center"/>
          </w:tcPr>
          <w:p>
            <w:pPr>
              <w:rPr>
                <w:rFonts w:hint="eastAsia" w:ascii="仿宋_GB2312" w:hAnsi="仿宋" w:eastAsia="仿宋_GB2312" w:cs="仿宋"/>
                <w:kern w:val="0"/>
                <w:szCs w:val="21"/>
              </w:rPr>
            </w:pPr>
            <w:r>
              <w:rPr>
                <w:rFonts w:hint="eastAsia" w:ascii="仿宋_GB2312" w:hAnsi="仿宋" w:eastAsia="仿宋_GB2312" w:cs="仿宋"/>
                <w:kern w:val="0"/>
                <w:szCs w:val="21"/>
              </w:rPr>
              <w:t>1.结合国家、省2017年度公立医院综合改革效果评价考核工作，进行自评、督导和整改。</w:t>
            </w:r>
          </w:p>
          <w:p>
            <w:pPr>
              <w:rPr>
                <w:rFonts w:hint="eastAsia" w:ascii="仿宋_GB2312" w:hAnsi="仿宋" w:eastAsia="仿宋_GB2312" w:cs="仿宋"/>
                <w:kern w:val="0"/>
                <w:szCs w:val="21"/>
              </w:rPr>
            </w:pPr>
            <w:r>
              <w:rPr>
                <w:rFonts w:hint="eastAsia" w:ascii="仿宋_GB2312" w:hAnsi="仿宋" w:eastAsia="仿宋_GB2312" w:cs="仿宋"/>
                <w:kern w:val="0"/>
                <w:szCs w:val="21"/>
              </w:rPr>
              <w:t>2.协调财政、人社、卫生计生部门联合制定考核结果与补助挂钩文件。</w:t>
            </w:r>
          </w:p>
          <w:p>
            <w:pPr>
              <w:rPr>
                <w:rFonts w:hint="eastAsia" w:ascii="仿宋_GB2312" w:hAnsi="仿宋" w:eastAsia="仿宋_GB2312" w:cs="仿宋"/>
                <w:kern w:val="0"/>
                <w:szCs w:val="21"/>
              </w:rPr>
            </w:pPr>
            <w:r>
              <w:rPr>
                <w:rFonts w:hint="eastAsia" w:ascii="仿宋_GB2312" w:hAnsi="仿宋" w:eastAsia="仿宋_GB2312" w:cs="仿宋"/>
                <w:kern w:val="0"/>
                <w:szCs w:val="21"/>
              </w:rPr>
              <w:t>3.下发控费文件，制定差异化控费指标。</w:t>
            </w:r>
          </w:p>
        </w:tc>
        <w:tc>
          <w:tcPr>
            <w:tcW w:w="1905" w:type="dxa"/>
            <w:vMerge w:val="restart"/>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★卫生计生局</w:t>
            </w:r>
          </w:p>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市财政局</w:t>
            </w:r>
          </w:p>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kern w:val="0"/>
                <w:szCs w:val="21"/>
              </w:rPr>
              <w:t>市人社局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全面落实</w:t>
            </w:r>
            <w:r>
              <w:rPr>
                <w:rFonts w:hint="eastAsia" w:ascii="仿宋_GB2312" w:hAnsi="仿宋" w:eastAsia="仿宋_GB2312" w:cs="仿宋"/>
                <w:szCs w:val="21"/>
              </w:rPr>
              <w:t>区域卫生规划</w:t>
            </w:r>
            <w:r>
              <w:rPr>
                <w:rFonts w:hint="eastAsia" w:ascii="仿宋_GB2312" w:hAnsi="仿宋" w:eastAsia="仿宋_GB2312" w:cs="仿宋"/>
                <w:kern w:val="0"/>
                <w:szCs w:val="21"/>
              </w:rPr>
              <w:t>。</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强化规划实施监督和评价。</w:t>
            </w:r>
          </w:p>
        </w:tc>
        <w:tc>
          <w:tcPr>
            <w:tcW w:w="1905" w:type="dxa"/>
            <w:vMerge w:val="continue"/>
            <w:vAlign w:val="center"/>
          </w:tcPr>
          <w:p>
            <w:pPr>
              <w:widowControl/>
              <w:spacing w:line="440" w:lineRule="exact"/>
              <w:ind w:left="-30" w:right="-30"/>
              <w:jc w:val="left"/>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规划信息科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对符合区域卫生规划的公立医院强化政府“六项投入”责任，对中医医院实行倾斜性投入政策。推进公立医院历史债务化解工作。</w:t>
            </w:r>
          </w:p>
        </w:tc>
        <w:tc>
          <w:tcPr>
            <w:tcW w:w="3795" w:type="dxa"/>
            <w:gridSpan w:val="2"/>
            <w:vAlign w:val="center"/>
          </w:tcPr>
          <w:p>
            <w:pPr>
              <w:widowControl/>
              <w:rPr>
                <w:rFonts w:hint="eastAsia" w:ascii="仿宋_GB2312" w:hAnsi="仿宋" w:eastAsia="仿宋_GB2312" w:cs="仿宋"/>
                <w:kern w:val="0"/>
                <w:szCs w:val="21"/>
              </w:rPr>
            </w:pP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★市财政局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市卫生计生局</w:t>
            </w:r>
            <w:r>
              <w:rPr>
                <w:rFonts w:hint="eastAsia" w:ascii="仿宋_GB2312" w:hAnsi="仿宋" w:eastAsia="仿宋_GB2312" w:cs="仿宋"/>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财务科</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5" w:hRule="atLeast"/>
        </w:trPr>
        <w:tc>
          <w:tcPr>
            <w:tcW w:w="574"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6</w:t>
            </w:r>
          </w:p>
        </w:tc>
        <w:tc>
          <w:tcPr>
            <w:tcW w:w="152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深化医疗服务价格改革。</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深入开展调查研究，把握价格调整窗口期，通过规范诊疗行为、降低药品及医用耗材等费用腾出的空间，优化调整医疗服务价格。建立医疗服务价格动态调整机制，理顺医疗服务比价关系。承接下放到县级医疗服务价格调整工作职能。继续遴选部分市场竞争充分、个性化较强的医疗服务，实行市场调节价。</w:t>
            </w:r>
          </w:p>
        </w:tc>
        <w:tc>
          <w:tcPr>
            <w:tcW w:w="3795" w:type="dxa"/>
            <w:gridSpan w:val="2"/>
            <w:vAlign w:val="center"/>
          </w:tcPr>
          <w:p>
            <w:pPr>
              <w:widowControl/>
              <w:rPr>
                <w:rFonts w:hint="eastAsia" w:ascii="仿宋_GB2312" w:hAnsi="仿宋" w:eastAsia="仿宋_GB2312" w:cs="仿宋"/>
                <w:kern w:val="0"/>
                <w:szCs w:val="21"/>
              </w:rPr>
            </w:pP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★市发改局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市卫生计生局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市人社局</w:t>
            </w:r>
            <w:r>
              <w:rPr>
                <w:rFonts w:hint="eastAsia" w:ascii="仿宋_GB2312" w:hAnsi="仿宋" w:eastAsia="仿宋_GB2312" w:cs="仿宋"/>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财务科</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7</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推进落实公立医院综合改革相关核心指标。</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全市医疗费用同比增幅</w:t>
            </w:r>
            <w:r>
              <w:rPr>
                <w:rFonts w:hint="eastAsia" w:ascii="仿宋_GB2312" w:hAnsi="仿宋" w:eastAsia="仿宋" w:cs="仿宋"/>
                <w:kern w:val="0"/>
                <w:szCs w:val="21"/>
              </w:rPr>
              <w:t>≦</w:t>
            </w:r>
            <w:r>
              <w:rPr>
                <w:rFonts w:hint="eastAsia" w:ascii="仿宋_GB2312" w:hAnsi="仿宋" w:eastAsia="仿宋_GB2312" w:cs="仿宋"/>
                <w:kern w:val="0"/>
                <w:szCs w:val="21"/>
              </w:rPr>
              <w:t>20.5%。</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下发文件，实施差异化控费管理，分解控费指标，纳入卫生计生重点工作目标责任制考核。</w:t>
            </w:r>
          </w:p>
        </w:tc>
        <w:tc>
          <w:tcPr>
            <w:tcW w:w="1905" w:type="dxa"/>
            <w:vMerge w:val="restart"/>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市发改局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市人社局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4"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药占比（不含中药饮片、国家谈判药品）</w:t>
            </w:r>
            <w:r>
              <w:rPr>
                <w:rFonts w:hint="eastAsia" w:ascii="仿宋_GB2312" w:hAnsi="仿宋" w:eastAsia="仿宋" w:cs="仿宋"/>
                <w:kern w:val="0"/>
                <w:szCs w:val="21"/>
              </w:rPr>
              <w:t>≦</w:t>
            </w:r>
            <w:r>
              <w:rPr>
                <w:rFonts w:hint="eastAsia" w:ascii="仿宋_GB2312" w:hAnsi="仿宋" w:eastAsia="仿宋_GB2312" w:cs="仿宋"/>
                <w:kern w:val="0"/>
                <w:szCs w:val="21"/>
              </w:rPr>
              <w:t>30%；百元医疗收入（不含药品收入）消耗的卫生材料</w:t>
            </w:r>
            <w:r>
              <w:rPr>
                <w:rFonts w:hint="eastAsia" w:ascii="仿宋_GB2312" w:hAnsi="仿宋" w:eastAsia="仿宋" w:cs="仿宋"/>
                <w:kern w:val="0"/>
                <w:szCs w:val="21"/>
              </w:rPr>
              <w:t>≦</w:t>
            </w:r>
            <w:r>
              <w:rPr>
                <w:rFonts w:hint="eastAsia" w:ascii="仿宋_GB2312" w:hAnsi="仿宋" w:eastAsia="仿宋_GB2312" w:cs="仿宋"/>
                <w:kern w:val="0"/>
                <w:szCs w:val="21"/>
              </w:rPr>
              <w:t>20元；医疗服务收入（不含药品、耗材、检查、化验收入）占业务收入比重</w:t>
            </w:r>
            <w:r>
              <w:rPr>
                <w:rFonts w:hint="eastAsia" w:ascii="仿宋_GB2312" w:hAnsi="仿宋" w:eastAsia="仿宋" w:cs="仿宋"/>
                <w:kern w:val="0"/>
                <w:szCs w:val="21"/>
              </w:rPr>
              <w:t>≧</w:t>
            </w:r>
            <w:r>
              <w:rPr>
                <w:rFonts w:hint="eastAsia" w:ascii="仿宋_GB2312" w:hAnsi="仿宋" w:eastAsia="仿宋_GB2312" w:cs="仿宋"/>
                <w:kern w:val="0"/>
                <w:szCs w:val="21"/>
              </w:rPr>
              <w:t>35%，人员支出占业务支出比例较上年提高。</w:t>
            </w:r>
          </w:p>
        </w:tc>
        <w:tc>
          <w:tcPr>
            <w:tcW w:w="3795" w:type="dxa"/>
            <w:gridSpan w:val="2"/>
            <w:vAlign w:val="center"/>
          </w:tcPr>
          <w:p>
            <w:pPr>
              <w:widowControl/>
              <w:numPr>
                <w:ilvl w:val="0"/>
                <w:numId w:val="1"/>
              </w:numPr>
              <w:rPr>
                <w:rFonts w:hint="eastAsia" w:ascii="仿宋_GB2312" w:hAnsi="仿宋" w:eastAsia="仿宋_GB2312" w:cs="仿宋"/>
                <w:kern w:val="0"/>
                <w:szCs w:val="21"/>
              </w:rPr>
            </w:pPr>
            <w:r>
              <w:rPr>
                <w:rFonts w:hint="eastAsia" w:ascii="仿宋_GB2312" w:hAnsi="仿宋" w:eastAsia="仿宋_GB2312" w:cs="仿宋"/>
                <w:kern w:val="0"/>
                <w:szCs w:val="21"/>
              </w:rPr>
              <w:t>按季度开展调度。</w:t>
            </w:r>
          </w:p>
          <w:p>
            <w:pPr>
              <w:widowControl/>
              <w:numPr>
                <w:ilvl w:val="0"/>
                <w:numId w:val="1"/>
              </w:numPr>
              <w:rPr>
                <w:rFonts w:hint="eastAsia" w:ascii="仿宋_GB2312" w:hAnsi="仿宋" w:eastAsia="仿宋_GB2312" w:cs="仿宋"/>
                <w:kern w:val="0"/>
                <w:szCs w:val="21"/>
              </w:rPr>
            </w:pPr>
            <w:r>
              <w:rPr>
                <w:rFonts w:hint="eastAsia" w:ascii="仿宋_GB2312" w:hAnsi="仿宋" w:eastAsia="仿宋_GB2312" w:cs="仿宋"/>
                <w:kern w:val="0"/>
                <w:szCs w:val="21"/>
              </w:rPr>
              <w:t>对结果进行通报。</w:t>
            </w:r>
          </w:p>
        </w:tc>
        <w:tc>
          <w:tcPr>
            <w:tcW w:w="1905" w:type="dxa"/>
            <w:vMerge w:val="continue"/>
            <w:vAlign w:val="center"/>
          </w:tcPr>
          <w:p>
            <w:pPr>
              <w:widowControl/>
              <w:spacing w:line="440" w:lineRule="exact"/>
              <w:ind w:left="-30" w:right="-30"/>
              <w:jc w:val="left"/>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基层医疗卫生机构门急诊人次占比较上年提高。</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加强基层医疗卫生机构服务能力建设，着力提高基本医疗服务水平。</w:t>
            </w:r>
          </w:p>
        </w:tc>
        <w:tc>
          <w:tcPr>
            <w:tcW w:w="1905" w:type="dxa"/>
            <w:vMerge w:val="continue"/>
            <w:vAlign w:val="center"/>
          </w:tcPr>
          <w:p>
            <w:pPr>
              <w:widowControl/>
              <w:spacing w:line="440" w:lineRule="exact"/>
              <w:ind w:left="-30" w:right="-30"/>
              <w:jc w:val="left"/>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基层卫生科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5"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8</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落实现代医院管理制度建设实施方案。</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9月底前成立公立医院管理局员会，明确管理委员会运行机制。</w:t>
            </w:r>
          </w:p>
        </w:tc>
        <w:tc>
          <w:tcPr>
            <w:tcW w:w="3795" w:type="dxa"/>
            <w:gridSpan w:val="2"/>
            <w:vAlign w:val="center"/>
          </w:tcPr>
          <w:p>
            <w:pPr>
              <w:widowControl/>
              <w:tabs>
                <w:tab w:val="left" w:pos="1182"/>
              </w:tabs>
              <w:rPr>
                <w:rFonts w:hint="eastAsia" w:ascii="仿宋_GB2312" w:hAnsi="仿宋" w:eastAsia="仿宋_GB2312" w:cs="仿宋"/>
                <w:kern w:val="0"/>
                <w:szCs w:val="21"/>
              </w:rPr>
            </w:pPr>
            <w:r>
              <w:rPr>
                <w:rFonts w:hint="eastAsia" w:ascii="仿宋_GB2312" w:hAnsi="仿宋" w:eastAsia="仿宋_GB2312" w:cs="仿宋"/>
                <w:kern w:val="0"/>
                <w:szCs w:val="21"/>
              </w:rPr>
              <w:t>市政府（或编办）下发成立医管委文件，制定工作制度、运行规则、管理权限及责任清单。</w:t>
            </w:r>
          </w:p>
        </w:tc>
        <w:tc>
          <w:tcPr>
            <w:tcW w:w="1905" w:type="dxa"/>
            <w:vMerge w:val="restart"/>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市编办</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市发改局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市人社局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市财政局</w:t>
            </w:r>
            <w:r>
              <w:rPr>
                <w:rFonts w:hint="eastAsia" w:ascii="仿宋_GB2312" w:hAnsi="仿宋" w:eastAsia="仿宋_GB2312" w:cs="仿宋"/>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全市二级公立医院、社会办非营利性医院章程制定覆盖率分别达到50%和10%。</w:t>
            </w:r>
          </w:p>
        </w:tc>
        <w:tc>
          <w:tcPr>
            <w:tcW w:w="3795" w:type="dxa"/>
            <w:gridSpan w:val="2"/>
            <w:vAlign w:val="center"/>
          </w:tcPr>
          <w:p>
            <w:pPr>
              <w:widowControl/>
              <w:numPr>
                <w:ilvl w:val="0"/>
                <w:numId w:val="2"/>
              </w:numPr>
              <w:rPr>
                <w:rFonts w:hint="eastAsia" w:ascii="仿宋_GB2312" w:hAnsi="仿宋" w:eastAsia="仿宋_GB2312" w:cs="仿宋"/>
                <w:kern w:val="0"/>
                <w:szCs w:val="21"/>
              </w:rPr>
            </w:pPr>
            <w:r>
              <w:rPr>
                <w:rFonts w:hint="eastAsia" w:ascii="仿宋_GB2312" w:hAnsi="仿宋" w:eastAsia="仿宋_GB2312" w:cs="仿宋"/>
                <w:kern w:val="0"/>
                <w:szCs w:val="21"/>
              </w:rPr>
              <w:t>按照《吉林市建立现代医院管理制度实施方案》要求进行落实。</w:t>
            </w:r>
          </w:p>
          <w:p>
            <w:pPr>
              <w:widowControl/>
              <w:numPr>
                <w:ilvl w:val="0"/>
                <w:numId w:val="2"/>
              </w:numPr>
              <w:rPr>
                <w:rFonts w:hint="eastAsia" w:ascii="仿宋_GB2312" w:hAnsi="仿宋" w:eastAsia="仿宋_GB2312" w:cs="仿宋"/>
                <w:kern w:val="0"/>
                <w:szCs w:val="21"/>
              </w:rPr>
            </w:pPr>
            <w:r>
              <w:rPr>
                <w:rFonts w:hint="eastAsia" w:ascii="仿宋_GB2312" w:hAnsi="仿宋" w:eastAsia="仿宋_GB2312" w:cs="仿宋"/>
                <w:kern w:val="0"/>
                <w:szCs w:val="21"/>
              </w:rPr>
              <w:t>组织培训。</w:t>
            </w:r>
          </w:p>
        </w:tc>
        <w:tc>
          <w:tcPr>
            <w:tcW w:w="1905" w:type="dxa"/>
            <w:vMerge w:val="continue"/>
            <w:vAlign w:val="center"/>
          </w:tcPr>
          <w:p>
            <w:pPr>
              <w:widowControl/>
              <w:spacing w:line="440" w:lineRule="exact"/>
              <w:ind w:left="-30" w:right="-30"/>
              <w:jc w:val="left"/>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完成管理局员会及办公室工作制度、运行规则、管理权限及责任清单的制定工作。</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bCs/>
                <w:kern w:val="0"/>
                <w:szCs w:val="21"/>
              </w:rPr>
              <w:t>配合市编办合理确定全市公立医院编制总量，并适时指导所属公立医院报批调整方案。</w:t>
            </w:r>
          </w:p>
        </w:tc>
        <w:tc>
          <w:tcPr>
            <w:tcW w:w="1905" w:type="dxa"/>
            <w:vMerge w:val="continue"/>
            <w:vAlign w:val="center"/>
          </w:tcPr>
          <w:p>
            <w:pPr>
              <w:widowControl/>
              <w:spacing w:line="440" w:lineRule="exact"/>
              <w:ind w:left="-30" w:right="-30"/>
              <w:jc w:val="left"/>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7"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对50%的公立医院开展评价考核。</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对二级以上医院开展医疗质量评价。</w:t>
            </w:r>
          </w:p>
        </w:tc>
        <w:tc>
          <w:tcPr>
            <w:tcW w:w="1905" w:type="dxa"/>
            <w:vMerge w:val="continue"/>
            <w:vAlign w:val="center"/>
          </w:tcPr>
          <w:p>
            <w:pPr>
              <w:widowControl/>
              <w:spacing w:line="440" w:lineRule="exact"/>
              <w:ind w:left="-30" w:right="-30"/>
              <w:jc w:val="left"/>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9</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推进编制人事薪酬制度改革。</w:t>
            </w:r>
          </w:p>
        </w:tc>
        <w:tc>
          <w:tcPr>
            <w:tcW w:w="5061"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在现有编制总量内，合理核定城市公立医院编制总量。</w:t>
            </w:r>
          </w:p>
        </w:tc>
        <w:tc>
          <w:tcPr>
            <w:tcW w:w="3780" w:type="dxa"/>
            <w:vAlign w:val="center"/>
          </w:tcPr>
          <w:p>
            <w:pPr>
              <w:widowControl/>
              <w:rPr>
                <w:rFonts w:hint="eastAsia" w:ascii="仿宋_GB2312" w:hAnsi="仿宋" w:eastAsia="仿宋_GB2312" w:cs="仿宋"/>
                <w:kern w:val="0"/>
                <w:szCs w:val="21"/>
              </w:rPr>
            </w:pP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★市编办</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人事科</w:t>
            </w:r>
          </w:p>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61"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积极推进公立医院薪酬制度改革。</w:t>
            </w:r>
          </w:p>
        </w:tc>
        <w:tc>
          <w:tcPr>
            <w:tcW w:w="3780"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bCs/>
                <w:kern w:val="0"/>
                <w:szCs w:val="21"/>
              </w:rPr>
              <w:t>按照《关于推进我省公立医院薪酬制度改革的实施意见（试行）》（吉人社联字〔2017〕101号），积极协助配合人社部门研究制定市直公立医院薪酬制度改革实施的具体办法。</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★市人社局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市财政局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市卫生计生局</w:t>
            </w:r>
            <w:r>
              <w:rPr>
                <w:rFonts w:hint="eastAsia" w:ascii="仿宋_GB2312" w:hAnsi="仿宋" w:eastAsia="仿宋_GB2312" w:cs="仿宋"/>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人事科</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3"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61"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建立以公益性为导向的绩效考核机制和内部分配办法，鼓励多劳多得、优绩优酬，提升岗位吸引力。建立灵活的用人机制，对医院紧缺的专业技术人才或高层次人才可按规定由医院采取考察的方式招聘。</w:t>
            </w:r>
          </w:p>
        </w:tc>
        <w:tc>
          <w:tcPr>
            <w:tcW w:w="3780" w:type="dxa"/>
            <w:vAlign w:val="center"/>
          </w:tcPr>
          <w:p>
            <w:pPr>
              <w:widowControl/>
              <w:numPr>
                <w:ilvl w:val="0"/>
                <w:numId w:val="3"/>
              </w:numPr>
              <w:rPr>
                <w:rFonts w:hint="eastAsia" w:ascii="仿宋_GB2312" w:hAnsi="仿宋" w:eastAsia="仿宋_GB2312" w:cs="仿宋"/>
                <w:bCs/>
                <w:kern w:val="0"/>
                <w:szCs w:val="21"/>
              </w:rPr>
            </w:pPr>
            <w:r>
              <w:rPr>
                <w:rFonts w:hint="eastAsia" w:ascii="仿宋_GB2312" w:hAnsi="仿宋" w:eastAsia="仿宋_GB2312" w:cs="仿宋"/>
                <w:bCs/>
                <w:kern w:val="0"/>
                <w:szCs w:val="21"/>
              </w:rPr>
              <w:t>按人社部门要求，指导市直公立医院建立以公益性为导向的绩效考核和内部分配办法；</w:t>
            </w:r>
          </w:p>
          <w:p>
            <w:pPr>
              <w:widowControl/>
              <w:rPr>
                <w:rFonts w:hint="eastAsia" w:ascii="仿宋_GB2312" w:hAnsi="仿宋" w:eastAsia="仿宋_GB2312" w:cs="仿宋"/>
                <w:kern w:val="0"/>
                <w:szCs w:val="21"/>
              </w:rPr>
            </w:pPr>
            <w:r>
              <w:rPr>
                <w:rFonts w:hint="eastAsia" w:ascii="仿宋_GB2312" w:hAnsi="仿宋" w:eastAsia="仿宋_GB2312" w:cs="仿宋"/>
                <w:bCs/>
                <w:kern w:val="0"/>
                <w:szCs w:val="21"/>
              </w:rPr>
              <w:t>2.按照人社部门要求，落实紧缺专业技术人才和高层次人才由医院自主考察招聘用人新机制。</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市人社局</w:t>
            </w:r>
            <w:r>
              <w:rPr>
                <w:rFonts w:hint="eastAsia" w:ascii="仿宋_GB2312" w:hAnsi="仿宋" w:eastAsia="仿宋_GB2312" w:cs="仿宋"/>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6"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10</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加强公立医院党的建设和行业党建工作指导。</w:t>
            </w:r>
          </w:p>
        </w:tc>
        <w:tc>
          <w:tcPr>
            <w:tcW w:w="5061"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11月底前，制定完善舒兰市公立医院党建工作的实施意见，2019年5月底前，建立舒兰市公立医院党建工作考核评价体系。</w:t>
            </w:r>
          </w:p>
        </w:tc>
        <w:tc>
          <w:tcPr>
            <w:tcW w:w="3780"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待吉林省公立医院党建工作实施意见出台后，结合我市公立医院实际，制定完善吉林市公立医院党建工作的实施意见</w:t>
            </w:r>
          </w:p>
        </w:tc>
        <w:tc>
          <w:tcPr>
            <w:tcW w:w="1905" w:type="dxa"/>
            <w:vMerge w:val="restart"/>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市市场监督管理局市公安局</w:t>
            </w:r>
            <w:r>
              <w:rPr>
                <w:rFonts w:hint="eastAsia" w:ascii="仿宋_GB2312" w:hAnsi="仿宋" w:eastAsia="仿宋_GB2312" w:cs="仿宋"/>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机关党委办公室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61"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严格执行“九不准”规定，严厉查处医药购销领域商业贿赂等违法犯罪行为。</w:t>
            </w:r>
          </w:p>
        </w:tc>
        <w:tc>
          <w:tcPr>
            <w:tcW w:w="3780" w:type="dxa"/>
            <w:vAlign w:val="center"/>
          </w:tcPr>
          <w:p>
            <w:pPr>
              <w:widowControl/>
              <w:numPr>
                <w:ilvl w:val="0"/>
                <w:numId w:val="4"/>
              </w:numPr>
              <w:rPr>
                <w:rFonts w:hint="eastAsia" w:ascii="仿宋_GB2312" w:hAnsi="仿宋" w:eastAsia="仿宋_GB2312" w:cs="仿宋"/>
                <w:kern w:val="0"/>
                <w:szCs w:val="21"/>
              </w:rPr>
            </w:pPr>
            <w:r>
              <w:rPr>
                <w:rFonts w:hint="eastAsia" w:ascii="仿宋_GB2312" w:hAnsi="仿宋" w:eastAsia="仿宋_GB2312" w:cs="仿宋"/>
                <w:kern w:val="0"/>
                <w:szCs w:val="21"/>
              </w:rPr>
              <w:t>医用耗材专项整治回头看。</w:t>
            </w:r>
          </w:p>
          <w:p>
            <w:pPr>
              <w:widowControl/>
              <w:rPr>
                <w:rFonts w:hint="eastAsia" w:ascii="仿宋_GB2312" w:hAnsi="仿宋" w:eastAsia="仿宋_GB2312" w:cs="仿宋"/>
                <w:kern w:val="0"/>
                <w:szCs w:val="21"/>
              </w:rPr>
            </w:pPr>
            <w:r>
              <w:rPr>
                <w:rFonts w:hint="eastAsia" w:ascii="仿宋_GB2312" w:hAnsi="仿宋" w:eastAsia="仿宋_GB2312" w:cs="仿宋"/>
                <w:kern w:val="0"/>
                <w:szCs w:val="21"/>
              </w:rPr>
              <w:t>2.建立健全药品回扣医用耗材及其他医药购销领域长效监督预警机制。</w:t>
            </w:r>
          </w:p>
        </w:tc>
        <w:tc>
          <w:tcPr>
            <w:tcW w:w="1905" w:type="dxa"/>
            <w:vMerge w:val="continue"/>
            <w:vAlign w:val="center"/>
          </w:tcPr>
          <w:p>
            <w:pPr>
              <w:widowControl/>
              <w:spacing w:line="440" w:lineRule="exact"/>
              <w:ind w:left="-30" w:right="-30"/>
              <w:jc w:val="left"/>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11</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深化国有企业医疗机构改革。</w:t>
            </w:r>
          </w:p>
        </w:tc>
        <w:tc>
          <w:tcPr>
            <w:tcW w:w="5061"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采取移交地方管理、关闭撤销、资源整合、重组改制等多种方式实现专业化管理。</w:t>
            </w:r>
          </w:p>
        </w:tc>
        <w:tc>
          <w:tcPr>
            <w:tcW w:w="3780" w:type="dxa"/>
            <w:vAlign w:val="center"/>
          </w:tcPr>
          <w:p>
            <w:pPr>
              <w:widowControl/>
              <w:rPr>
                <w:rFonts w:hint="eastAsia" w:ascii="仿宋_GB2312" w:hAnsi="仿宋" w:eastAsia="仿宋_GB2312" w:cs="仿宋"/>
                <w:kern w:val="0"/>
                <w:szCs w:val="21"/>
              </w:rPr>
            </w:pPr>
          </w:p>
        </w:tc>
        <w:tc>
          <w:tcPr>
            <w:tcW w:w="1905" w:type="dxa"/>
            <w:vMerge w:val="restart"/>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市编办</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市财政局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市人社局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61"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做好企业办医疗机构移交后的行业管理工作。</w:t>
            </w:r>
          </w:p>
        </w:tc>
        <w:tc>
          <w:tcPr>
            <w:tcW w:w="3780"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收集并整理我市国有企业办医疗机构正在办理移交工作的进展情况；对已经移交的医疗机构纳入行业监管。</w:t>
            </w:r>
          </w:p>
        </w:tc>
        <w:tc>
          <w:tcPr>
            <w:tcW w:w="1905" w:type="dxa"/>
            <w:vMerge w:val="continue"/>
            <w:vAlign w:val="center"/>
          </w:tcPr>
          <w:p>
            <w:pPr>
              <w:widowControl/>
              <w:spacing w:line="440" w:lineRule="exact"/>
              <w:ind w:left="-30" w:right="-30"/>
              <w:jc w:val="left"/>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2" w:hRule="atLeast"/>
        </w:trPr>
        <w:tc>
          <w:tcPr>
            <w:tcW w:w="574"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12</w:t>
            </w:r>
          </w:p>
        </w:tc>
        <w:tc>
          <w:tcPr>
            <w:tcW w:w="152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继续实施改善医疗服务行动计划。</w:t>
            </w:r>
          </w:p>
        </w:tc>
        <w:tc>
          <w:tcPr>
            <w:tcW w:w="5061"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落实舒兰市改善医疗服务行动计划（2015-2020年）实施方案。加快推广远程医疗、预约转诊、日间手术、检查检验结果互认等医疗服务模式，以胸痛中心、卒中中心创建为基础，加强多学科联合医疗服务，进一步改善人民群众就医体验。</w:t>
            </w:r>
          </w:p>
        </w:tc>
        <w:tc>
          <w:tcPr>
            <w:tcW w:w="3780"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制定并出台舒兰市改善医疗服务行动计划（2015-2020年）实施方案，进一步巩固预约诊疗等五项制度，推广多学科诊疗等十个方面服务模式创新，提升群众就医感受。</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市人社局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9" w:hRule="atLeast"/>
        </w:trPr>
        <w:tc>
          <w:tcPr>
            <w:tcW w:w="574"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13</w:t>
            </w:r>
          </w:p>
        </w:tc>
        <w:tc>
          <w:tcPr>
            <w:tcW w:w="152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推进全市药品集中采购工作。</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落实药品分类采购政策，保障临床用药需求。落实骨科、神经外科等7类高值医用耗材的招标采购及上线交易，进一步降低耗材价格。</w:t>
            </w:r>
          </w:p>
        </w:tc>
        <w:tc>
          <w:tcPr>
            <w:tcW w:w="3795" w:type="dxa"/>
            <w:gridSpan w:val="2"/>
            <w:vAlign w:val="center"/>
          </w:tcPr>
          <w:p>
            <w:pPr>
              <w:widowControl/>
              <w:rPr>
                <w:rFonts w:hint="eastAsia" w:ascii="仿宋_GB2312" w:hAnsi="仿宋" w:eastAsia="仿宋_GB2312" w:cs="仿宋"/>
                <w:bCs/>
                <w:szCs w:val="21"/>
              </w:rPr>
            </w:pPr>
            <w:r>
              <w:rPr>
                <w:rFonts w:hint="eastAsia" w:ascii="仿宋_GB2312" w:hAnsi="仿宋" w:eastAsia="仿宋_GB2312" w:cs="仿宋"/>
                <w:bCs/>
                <w:szCs w:val="21"/>
              </w:rPr>
              <w:t>健全药品和高值医用耗材集中采购供应保障体系，按照分类分批采购原则，落实《吉林省药品集中采购实施方案》，执行新一轮药品集中采购结果。积极推进骨科、神经外科等7类高值医用耗材网上阳光采购。</w:t>
            </w:r>
          </w:p>
          <w:p>
            <w:pPr>
              <w:widowControl/>
              <w:rPr>
                <w:rFonts w:hint="eastAsia" w:ascii="仿宋_GB2312" w:hAnsi="仿宋" w:eastAsia="仿宋_GB2312" w:cs="仿宋"/>
                <w:kern w:val="0"/>
                <w:szCs w:val="21"/>
              </w:rPr>
            </w:pP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p>
          <w:p>
            <w:pPr>
              <w:widowControl/>
              <w:spacing w:line="440" w:lineRule="exact"/>
              <w:ind w:left="-30" w:right="-30"/>
              <w:jc w:val="center"/>
              <w:rPr>
                <w:rFonts w:hint="eastAsia" w:ascii="仿宋_GB2312" w:hAnsi="仿宋" w:eastAsia="仿宋_GB2312" w:cs="仿宋"/>
                <w:b/>
                <w:bCs/>
                <w:spacing w:val="-6"/>
                <w:w w:val="95"/>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14</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落实药品供应保障政策。</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从群众需求出发，把临床必需、疗效确切、供应短缺、防治重大传染病和罕见病、处置突发公共卫生事件、儿童用药等作为重点，促进短缺药和仿制药研发创新。</w:t>
            </w:r>
          </w:p>
        </w:tc>
        <w:tc>
          <w:tcPr>
            <w:tcW w:w="3795" w:type="dxa"/>
            <w:gridSpan w:val="2"/>
            <w:vAlign w:val="center"/>
          </w:tcPr>
          <w:p>
            <w:pPr>
              <w:widowControl/>
              <w:rPr>
                <w:rFonts w:hint="eastAsia" w:ascii="仿宋_GB2312" w:hAnsi="仿宋" w:eastAsia="仿宋_GB2312" w:cs="仿宋"/>
                <w:kern w:val="0"/>
                <w:szCs w:val="21"/>
              </w:rPr>
            </w:pP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★市市场监督</w:t>
            </w:r>
          </w:p>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管理局</w:t>
            </w:r>
          </w:p>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kern w:val="0"/>
                <w:szCs w:val="21"/>
              </w:rPr>
              <w:t>市科技局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3"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加强短缺药品监测预警并积极制定应对措施。</w:t>
            </w:r>
          </w:p>
        </w:tc>
        <w:tc>
          <w:tcPr>
            <w:tcW w:w="3795" w:type="dxa"/>
            <w:gridSpan w:val="2"/>
            <w:vAlign w:val="center"/>
          </w:tcPr>
          <w:p>
            <w:pPr>
              <w:widowControl/>
              <w:tabs>
                <w:tab w:val="left" w:pos="641"/>
              </w:tabs>
              <w:rPr>
                <w:rFonts w:hint="eastAsia" w:ascii="仿宋_GB2312" w:hAnsi="仿宋" w:eastAsia="仿宋_GB2312" w:cs="仿宋"/>
                <w:kern w:val="0"/>
                <w:szCs w:val="21"/>
              </w:rPr>
            </w:pPr>
            <w:r>
              <w:rPr>
                <w:rFonts w:hint="eastAsia" w:ascii="仿宋_GB2312" w:hAnsi="仿宋" w:eastAsia="仿宋_GB2312" w:cs="仿宋"/>
                <w:bCs/>
                <w:szCs w:val="21"/>
              </w:rPr>
              <w:t>建立短缺药品监测预警机制，实行医疗卫生机构短缺药品信息直报制度。要求25家医疗卫生机构将短缺药品信息填写完整, 每月10日前上报至省药械采购服务平台的子系统吉林省短缺药品上报系统。</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研究建立短缺药品储备机制。</w:t>
            </w:r>
          </w:p>
        </w:tc>
        <w:tc>
          <w:tcPr>
            <w:tcW w:w="3795" w:type="dxa"/>
            <w:gridSpan w:val="2"/>
            <w:vAlign w:val="center"/>
          </w:tcPr>
          <w:p>
            <w:pPr>
              <w:widowControl/>
              <w:rPr>
                <w:rFonts w:hint="eastAsia" w:ascii="仿宋_GB2312" w:hAnsi="仿宋" w:eastAsia="仿宋_GB2312" w:cs="仿宋"/>
                <w:kern w:val="0"/>
                <w:szCs w:val="21"/>
              </w:rPr>
            </w:pP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★市工信局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市财政局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市卫生计生局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15</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深化药品生产流通领域改革。</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积极开展仿制药质量和疗效一致性评价工作。</w:t>
            </w:r>
          </w:p>
        </w:tc>
        <w:tc>
          <w:tcPr>
            <w:tcW w:w="3795" w:type="dxa"/>
            <w:gridSpan w:val="2"/>
            <w:vAlign w:val="center"/>
          </w:tcPr>
          <w:p>
            <w:pPr>
              <w:widowControl/>
              <w:rPr>
                <w:rFonts w:hint="eastAsia" w:ascii="仿宋_GB2312" w:hAnsi="仿宋" w:eastAsia="仿宋_GB2312" w:cs="仿宋"/>
                <w:kern w:val="0"/>
                <w:szCs w:val="21"/>
              </w:rPr>
            </w:pP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★市市场监督</w:t>
            </w:r>
          </w:p>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管理局</w:t>
            </w:r>
          </w:p>
        </w:tc>
        <w:tc>
          <w:tcPr>
            <w:tcW w:w="1725"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鼓励零售药店发展连锁经营。</w:t>
            </w:r>
          </w:p>
        </w:tc>
        <w:tc>
          <w:tcPr>
            <w:tcW w:w="3795" w:type="dxa"/>
            <w:gridSpan w:val="2"/>
            <w:vAlign w:val="center"/>
          </w:tcPr>
          <w:p>
            <w:pPr>
              <w:widowControl/>
              <w:rPr>
                <w:rFonts w:hint="eastAsia" w:ascii="仿宋_GB2312" w:hAnsi="仿宋" w:eastAsia="仿宋_GB2312" w:cs="仿宋"/>
                <w:kern w:val="0"/>
                <w:szCs w:val="21"/>
              </w:rPr>
            </w:pP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★市商务局</w:t>
            </w:r>
          </w:p>
        </w:tc>
        <w:tc>
          <w:tcPr>
            <w:tcW w:w="1725"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全面实施药品上市许可持有人制度。</w:t>
            </w:r>
          </w:p>
        </w:tc>
        <w:tc>
          <w:tcPr>
            <w:tcW w:w="3795" w:type="dxa"/>
            <w:gridSpan w:val="2"/>
            <w:vAlign w:val="center"/>
          </w:tcPr>
          <w:p>
            <w:pPr>
              <w:widowControl/>
              <w:rPr>
                <w:rFonts w:hint="eastAsia" w:ascii="仿宋_GB2312" w:hAnsi="仿宋" w:eastAsia="仿宋_GB2312" w:cs="仿宋"/>
                <w:kern w:val="0"/>
                <w:szCs w:val="21"/>
              </w:rPr>
            </w:pP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★市市场监督</w:t>
            </w:r>
          </w:p>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管理局</w:t>
            </w:r>
          </w:p>
        </w:tc>
        <w:tc>
          <w:tcPr>
            <w:tcW w:w="1725"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开展企业信用等级评价工作。</w:t>
            </w:r>
          </w:p>
        </w:tc>
        <w:tc>
          <w:tcPr>
            <w:tcW w:w="3795" w:type="dxa"/>
            <w:gridSpan w:val="2"/>
            <w:vAlign w:val="center"/>
          </w:tcPr>
          <w:p>
            <w:pPr>
              <w:widowControl/>
              <w:rPr>
                <w:rFonts w:hint="eastAsia" w:ascii="仿宋_GB2312" w:hAnsi="仿宋" w:eastAsia="仿宋_GB2312" w:cs="仿宋"/>
                <w:kern w:val="0"/>
                <w:szCs w:val="21"/>
              </w:rPr>
            </w:pP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★市发改局</w:t>
            </w:r>
          </w:p>
        </w:tc>
        <w:tc>
          <w:tcPr>
            <w:tcW w:w="1725"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17</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规范药品使用行为。</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继续落实处方点评等制度，组织二级以上医院对辅助性用药实施重点监控。</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落实处方点评等制度，对二级以上医院对辅助性用药实施重点监控。</w:t>
            </w:r>
          </w:p>
        </w:tc>
        <w:tc>
          <w:tcPr>
            <w:tcW w:w="1905" w:type="dxa"/>
            <w:vMerge w:val="restart"/>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市人社局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市发改局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探索建立医院药师管理制度，完善药师管理政策。对医疗机构合理使用药物情况进行考核排名，促进合理用药。</w:t>
            </w:r>
          </w:p>
        </w:tc>
        <w:tc>
          <w:tcPr>
            <w:tcW w:w="3795" w:type="dxa"/>
            <w:gridSpan w:val="2"/>
            <w:vAlign w:val="center"/>
          </w:tcPr>
          <w:p>
            <w:pPr>
              <w:widowControl/>
              <w:numPr>
                <w:ilvl w:val="0"/>
                <w:numId w:val="5"/>
              </w:numPr>
              <w:tabs>
                <w:tab w:val="left" w:pos="657"/>
              </w:tabs>
              <w:rPr>
                <w:rFonts w:hint="eastAsia" w:ascii="仿宋_GB2312" w:hAnsi="仿宋" w:eastAsia="仿宋_GB2312" w:cs="仿宋"/>
                <w:kern w:val="0"/>
                <w:szCs w:val="21"/>
              </w:rPr>
            </w:pPr>
            <w:r>
              <w:rPr>
                <w:rFonts w:hint="eastAsia" w:ascii="仿宋_GB2312" w:hAnsi="仿宋" w:eastAsia="仿宋_GB2312" w:cs="仿宋"/>
                <w:kern w:val="0"/>
                <w:szCs w:val="21"/>
              </w:rPr>
              <w:t>加强临床药师培训，完善药师队伍建设。完善药事服务体系，提升药事服务水平。</w:t>
            </w:r>
          </w:p>
          <w:p>
            <w:pPr>
              <w:widowControl/>
              <w:numPr>
                <w:ilvl w:val="0"/>
                <w:numId w:val="5"/>
              </w:numPr>
              <w:tabs>
                <w:tab w:val="left" w:pos="657"/>
              </w:tabs>
              <w:rPr>
                <w:rFonts w:hint="eastAsia" w:ascii="仿宋_GB2312" w:hAnsi="仿宋" w:eastAsia="仿宋_GB2312" w:cs="仿宋"/>
                <w:kern w:val="0"/>
                <w:szCs w:val="21"/>
              </w:rPr>
            </w:pPr>
            <w:r>
              <w:rPr>
                <w:rFonts w:hint="eastAsia" w:ascii="仿宋_GB2312" w:hAnsi="仿宋" w:eastAsia="仿宋_GB2312" w:cs="仿宋"/>
                <w:kern w:val="0"/>
                <w:szCs w:val="21"/>
              </w:rPr>
              <w:t>全面开展药事质控活动，加强医院合理用药评价和处方点评，重点开展抗菌药物、辅助药物管理，严格控制不合理用药。</w:t>
            </w:r>
          </w:p>
          <w:p>
            <w:pPr>
              <w:widowControl/>
              <w:numPr>
                <w:ilvl w:val="0"/>
                <w:numId w:val="5"/>
              </w:numPr>
              <w:tabs>
                <w:tab w:val="left" w:pos="657"/>
              </w:tabs>
              <w:rPr>
                <w:rFonts w:hint="eastAsia" w:ascii="仿宋_GB2312" w:hAnsi="仿宋" w:eastAsia="仿宋_GB2312" w:cs="仿宋"/>
                <w:kern w:val="0"/>
                <w:szCs w:val="21"/>
              </w:rPr>
            </w:pPr>
            <w:r>
              <w:rPr>
                <w:rFonts w:hint="eastAsia" w:ascii="仿宋_GB2312" w:hAnsi="仿宋" w:eastAsia="仿宋_GB2312" w:cs="仿宋"/>
                <w:kern w:val="0"/>
                <w:szCs w:val="21"/>
              </w:rPr>
              <w:t>贯彻落实《遏制细菌耐药国家行动计划》，依法规范毒、麻、精、放等特殊药品临床使用与管理。每年至少开展2次药事督导检查，对医疗机构抗菌药物使用、辅助用药管理进行抽查督导，汇总各相关医疗机构问题下发通报，要求限期整改。</w:t>
            </w:r>
          </w:p>
          <w:p>
            <w:pPr>
              <w:widowControl/>
              <w:tabs>
                <w:tab w:val="left" w:pos="657"/>
              </w:tabs>
              <w:rPr>
                <w:rFonts w:hint="eastAsia" w:ascii="仿宋_GB2312" w:hAnsi="仿宋" w:eastAsia="仿宋_GB2312" w:cs="仿宋"/>
                <w:kern w:val="0"/>
                <w:szCs w:val="21"/>
              </w:rPr>
            </w:pPr>
          </w:p>
          <w:p>
            <w:pPr>
              <w:widowControl/>
              <w:tabs>
                <w:tab w:val="left" w:pos="657"/>
              </w:tabs>
              <w:rPr>
                <w:rFonts w:hint="eastAsia" w:ascii="仿宋_GB2312" w:hAnsi="仿宋" w:eastAsia="仿宋_GB2312" w:cs="仿宋"/>
                <w:kern w:val="0"/>
                <w:szCs w:val="21"/>
              </w:rPr>
            </w:pPr>
          </w:p>
        </w:tc>
        <w:tc>
          <w:tcPr>
            <w:tcW w:w="1905" w:type="dxa"/>
            <w:vMerge w:val="continue"/>
            <w:vAlign w:val="center"/>
          </w:tcPr>
          <w:p>
            <w:pPr>
              <w:widowControl/>
              <w:spacing w:line="440" w:lineRule="exact"/>
              <w:ind w:left="-30" w:right="-30"/>
              <w:jc w:val="left"/>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trPr>
        <w:tc>
          <w:tcPr>
            <w:tcW w:w="574"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18</w:t>
            </w:r>
          </w:p>
        </w:tc>
        <w:tc>
          <w:tcPr>
            <w:tcW w:w="152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提高城乡居民医疗保障水平。</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城乡居民基本医保政府财政补助标准由每人每年450元提高到490元，增加40元，其中20元用于大病保险。全市城乡居民每人每年个人缴费标准统一到240元。深入实施全民参保计划，稳定参保率，实现应保尽保。</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制定做好2018年舒兰市城镇居民缴费工作通知，确定缴费标准和对象，参合率达95%以上。</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★市人社局</w:t>
            </w:r>
            <w:r>
              <w:rPr>
                <w:rFonts w:hint="eastAsia" w:ascii="仿宋_GB2312" w:hAnsi="仿宋" w:eastAsia="仿宋_GB2312" w:cs="仿宋"/>
                <w:b/>
                <w:bCs/>
                <w:kern w:val="0"/>
                <w:szCs w:val="21"/>
              </w:rPr>
              <w:br w:type="textWrapping"/>
            </w:r>
            <w:r>
              <w:rPr>
                <w:rFonts w:hint="eastAsia" w:ascii="仿宋_GB2312" w:hAnsi="仿宋" w:eastAsia="仿宋_GB2312" w:cs="仿宋"/>
                <w:b/>
                <w:bCs/>
                <w:kern w:val="0"/>
                <w:szCs w:val="21"/>
              </w:rPr>
              <w:t>★市卫生计生局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基层卫生科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8" w:hRule="atLeast"/>
        </w:trPr>
        <w:tc>
          <w:tcPr>
            <w:tcW w:w="574"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19</w:t>
            </w:r>
          </w:p>
        </w:tc>
        <w:tc>
          <w:tcPr>
            <w:tcW w:w="152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深化医保支付方式改革。</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全面落实以按病种付费为主的多元复合式医保支付方式，确定100个以上病种及其临床路径，提高按病种付费实际结算病例数。进一步扩大按疾病诊断相关分组（DRGs）收付费项目。探索符合中医药服务特点的支付方式，鼓励提供和使用适宜的中医药服务。建立“合理结余留用、合理超支分担”的激励和风险分担机制，提高公立医院自我管理、控制成本的积极性。</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制定做好2018年舒兰市新农合缴费工作通知，确定缴费标准和对象，参合率达95%以上。</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★市人社局</w:t>
            </w:r>
            <w:r>
              <w:rPr>
                <w:rFonts w:hint="eastAsia" w:ascii="仿宋_GB2312" w:hAnsi="仿宋" w:eastAsia="仿宋_GB2312" w:cs="仿宋"/>
                <w:b/>
                <w:bCs/>
                <w:kern w:val="0"/>
                <w:szCs w:val="21"/>
              </w:rPr>
              <w:br w:type="textWrapping"/>
            </w: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市发改局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市财政局</w:t>
            </w:r>
            <w:r>
              <w:rPr>
                <w:rFonts w:hint="eastAsia" w:ascii="仿宋_GB2312" w:hAnsi="仿宋" w:eastAsia="仿宋_GB2312" w:cs="仿宋"/>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基层卫生科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3"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20</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做好医疗保障体系的衔接。</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落实医疗救助与大病保险衔接政策，有序衔接基本医保、大病保险、医疗救助、疾病应急救助、慈善救助、商业保险等医疗保障体系，探索建立“一站式”费用结算信息平台。</w:t>
            </w:r>
          </w:p>
        </w:tc>
        <w:tc>
          <w:tcPr>
            <w:tcW w:w="3795" w:type="dxa"/>
            <w:gridSpan w:val="2"/>
            <w:vAlign w:val="center"/>
          </w:tcPr>
          <w:p>
            <w:pPr>
              <w:widowControl/>
              <w:rPr>
                <w:rFonts w:hint="eastAsia" w:ascii="仿宋_GB2312" w:hAnsi="仿宋" w:eastAsia="仿宋_GB2312" w:cs="仿宋"/>
                <w:kern w:val="0"/>
                <w:szCs w:val="21"/>
              </w:rPr>
            </w:pP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★市民政局</w:t>
            </w:r>
          </w:p>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市人社局</w:t>
            </w:r>
          </w:p>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市卫生计生局</w:t>
            </w:r>
          </w:p>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kern w:val="0"/>
                <w:szCs w:val="21"/>
              </w:rPr>
              <w:t>市脱贫办</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基层卫生科</w:t>
            </w:r>
          </w:p>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开展医保基金撬动社会扶贫资金实施免费救治贫困患者项目，做好社会保险扶贫工作。</w:t>
            </w:r>
          </w:p>
        </w:tc>
        <w:tc>
          <w:tcPr>
            <w:tcW w:w="3795" w:type="dxa"/>
            <w:gridSpan w:val="2"/>
            <w:vAlign w:val="center"/>
          </w:tcPr>
          <w:p>
            <w:pPr>
              <w:widowControl/>
              <w:rPr>
                <w:rFonts w:hint="eastAsia" w:ascii="仿宋_GB2312" w:hAnsi="仿宋" w:eastAsia="仿宋_GB2312" w:cs="仿宋"/>
                <w:kern w:val="0"/>
                <w:szCs w:val="21"/>
              </w:rPr>
            </w:pP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★市人社局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市脱贫办</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574"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21</w:t>
            </w:r>
          </w:p>
        </w:tc>
        <w:tc>
          <w:tcPr>
            <w:tcW w:w="152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发展完善医疗保险业务。</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完善职工基本医保门诊保障制度，优化职工个人账户功能，完善门诊统筹政策。扩大职工医疗互助覆盖面，促进医疗互助健康发展。进一步扩大长期护理保险制度试点范围，协调发展保障型商业健康保险。</w:t>
            </w:r>
          </w:p>
        </w:tc>
        <w:tc>
          <w:tcPr>
            <w:tcW w:w="3795" w:type="dxa"/>
            <w:gridSpan w:val="2"/>
            <w:vAlign w:val="center"/>
          </w:tcPr>
          <w:p>
            <w:pPr>
              <w:widowControl/>
              <w:rPr>
                <w:rFonts w:hint="eastAsia" w:ascii="仿宋_GB2312" w:hAnsi="仿宋" w:eastAsia="仿宋_GB2312" w:cs="仿宋"/>
                <w:kern w:val="0"/>
                <w:szCs w:val="21"/>
              </w:rPr>
            </w:pP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★市人社局</w:t>
            </w:r>
          </w:p>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kern w:val="0"/>
                <w:szCs w:val="21"/>
              </w:rPr>
              <w:t>市卫生计生局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基层卫生科</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574"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22</w:t>
            </w:r>
          </w:p>
        </w:tc>
        <w:tc>
          <w:tcPr>
            <w:tcW w:w="152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完善城乡居民医保制度“六统一”。</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合理均衡城乡居民在门诊、住院、特药保障、异地就医等各方面的保障待遇，着力解决城镇和农村居民医保待遇差异问题。</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制定《舒兰市城乡居民基本医疗保险制度“六统一”实施方案》</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★市人社局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市卫生计生局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基层卫生科</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23</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落实大病保险相关政策。</w:t>
            </w:r>
          </w:p>
        </w:tc>
        <w:tc>
          <w:tcPr>
            <w:tcW w:w="5046" w:type="dxa"/>
            <w:vAlign w:val="center"/>
          </w:tcPr>
          <w:p>
            <w:pPr>
              <w:rPr>
                <w:rFonts w:hint="eastAsia" w:ascii="仿宋_GB2312" w:hAnsi="仿宋" w:eastAsia="仿宋_GB2312" w:cs="仿宋"/>
                <w:kern w:val="0"/>
                <w:szCs w:val="21"/>
              </w:rPr>
            </w:pPr>
            <w:r>
              <w:rPr>
                <w:rFonts w:hint="eastAsia" w:ascii="仿宋_GB2312" w:hAnsi="仿宋" w:eastAsia="仿宋_GB2312" w:cs="仿宋"/>
                <w:kern w:val="0"/>
                <w:szCs w:val="21"/>
              </w:rPr>
              <w:t>进一步完善大病保险制度，不断提升大病保险保障水平。做好城镇居民大病保险业务移交商业保险机构经办后的管理工作，完善资金筹集使用管理制度、经办规程及考核办法，加强对商业保险机构的监督管理。</w:t>
            </w:r>
          </w:p>
        </w:tc>
        <w:tc>
          <w:tcPr>
            <w:tcW w:w="3795" w:type="dxa"/>
            <w:gridSpan w:val="2"/>
            <w:vAlign w:val="center"/>
          </w:tcPr>
          <w:p>
            <w:pPr>
              <w:rPr>
                <w:rFonts w:hint="eastAsia" w:ascii="仿宋_GB2312" w:hAnsi="仿宋" w:eastAsia="仿宋_GB2312" w:cs="仿宋"/>
                <w:kern w:val="0"/>
                <w:szCs w:val="21"/>
              </w:rPr>
            </w:pPr>
            <w:r>
              <w:rPr>
                <w:rFonts w:hint="eastAsia" w:ascii="仿宋_GB2312" w:hAnsi="仿宋" w:eastAsia="仿宋_GB2312" w:cs="仿宋"/>
                <w:kern w:val="0"/>
                <w:szCs w:val="21"/>
              </w:rPr>
              <w:t xml:space="preserve">制定《舒兰市卫生和计划生育局关于做好整合城乡居民基本医疗保险制度相关工作的通知》           </w:t>
            </w:r>
          </w:p>
        </w:tc>
        <w:tc>
          <w:tcPr>
            <w:tcW w:w="1905" w:type="dxa"/>
            <w:vMerge w:val="restart"/>
            <w:vAlign w:val="center"/>
          </w:tcPr>
          <w:p>
            <w:pPr>
              <w:spacing w:line="440" w:lineRule="exact"/>
              <w:ind w:left="-30" w:right="-30"/>
              <w:jc w:val="center"/>
              <w:rPr>
                <w:rFonts w:hint="eastAsia" w:ascii="仿宋_GB2312" w:hAnsi="仿宋" w:eastAsia="仿宋_GB2312" w:cs="仿宋"/>
                <w:b/>
                <w:bCs/>
                <w:kern w:val="0"/>
                <w:szCs w:val="21"/>
              </w:rPr>
            </w:pPr>
          </w:p>
          <w:p>
            <w:pPr>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★市人社局</w:t>
            </w:r>
            <w:r>
              <w:rPr>
                <w:rFonts w:hint="eastAsia" w:ascii="仿宋_GB2312" w:hAnsi="仿宋" w:eastAsia="仿宋_GB2312" w:cs="仿宋"/>
                <w:b/>
                <w:bCs/>
                <w:kern w:val="0"/>
                <w:szCs w:val="21"/>
              </w:rPr>
              <w:br w:type="textWrapping"/>
            </w: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市财政局</w:t>
            </w:r>
          </w:p>
          <w:p>
            <w:pPr>
              <w:spacing w:line="440" w:lineRule="exact"/>
              <w:ind w:left="-30" w:right="-30"/>
              <w:jc w:val="center"/>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trPr>
        <w:tc>
          <w:tcPr>
            <w:tcW w:w="574" w:type="dxa"/>
            <w:vMerge w:val="continue"/>
            <w:vAlign w:val="center"/>
          </w:tcPr>
          <w:p>
            <w:pPr>
              <w:widowControl/>
              <w:spacing w:line="440" w:lineRule="exact"/>
              <w:ind w:left="-30" w:right="-30"/>
              <w:jc w:val="center"/>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rPr>
                <w:rFonts w:hint="eastAsia" w:ascii="仿宋_GB2312" w:hAnsi="仿宋" w:eastAsia="仿宋_GB2312" w:cs="仿宋"/>
                <w:kern w:val="0"/>
                <w:szCs w:val="21"/>
              </w:rPr>
            </w:pPr>
            <w:r>
              <w:rPr>
                <w:rFonts w:hint="eastAsia" w:ascii="仿宋_GB2312" w:hAnsi="仿宋" w:eastAsia="仿宋_GB2312" w:cs="仿宋"/>
                <w:kern w:val="0"/>
                <w:szCs w:val="21"/>
              </w:rPr>
              <w:t>扩大大病保险支付范围，按照国家要求，选择主要产生高额自付医疗费用的病种，将其治疗所需的目录外药品或医疗服务项目纳入大病保险合规医疗费用范围。</w:t>
            </w:r>
          </w:p>
        </w:tc>
        <w:tc>
          <w:tcPr>
            <w:tcW w:w="3795" w:type="dxa"/>
            <w:gridSpan w:val="2"/>
            <w:vAlign w:val="center"/>
          </w:tcPr>
          <w:p>
            <w:pPr>
              <w:rPr>
                <w:rFonts w:hint="eastAsia" w:ascii="仿宋_GB2312" w:hAnsi="仿宋" w:eastAsia="仿宋_GB2312" w:cs="仿宋"/>
                <w:kern w:val="0"/>
                <w:szCs w:val="21"/>
              </w:rPr>
            </w:pPr>
            <w:r>
              <w:rPr>
                <w:rFonts w:hint="eastAsia" w:ascii="仿宋_GB2312" w:hAnsi="仿宋" w:eastAsia="仿宋_GB2312" w:cs="仿宋"/>
                <w:kern w:val="0"/>
                <w:szCs w:val="21"/>
              </w:rPr>
              <w:t>按照省人社厅的文件精神，抓好落实。</w:t>
            </w:r>
          </w:p>
        </w:tc>
        <w:tc>
          <w:tcPr>
            <w:tcW w:w="1905" w:type="dxa"/>
            <w:vMerge w:val="continue"/>
            <w:vAlign w:val="center"/>
          </w:tcPr>
          <w:p>
            <w:pPr>
              <w:spacing w:line="440" w:lineRule="exact"/>
              <w:ind w:left="-30" w:right="-30"/>
              <w:jc w:val="center"/>
              <w:rPr>
                <w:rFonts w:hint="eastAsia" w:ascii="仿宋_GB2312" w:hAnsi="仿宋" w:eastAsia="仿宋_GB2312" w:cs="仿宋"/>
                <w:b/>
                <w:bCs/>
                <w:kern w:val="0"/>
                <w:szCs w:val="21"/>
              </w:rPr>
            </w:pPr>
          </w:p>
        </w:tc>
        <w:tc>
          <w:tcPr>
            <w:tcW w:w="1725" w:type="dxa"/>
            <w:vAlign w:val="center"/>
          </w:tcPr>
          <w:p>
            <w:pPr>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6" w:hRule="atLeast"/>
        </w:trPr>
        <w:tc>
          <w:tcPr>
            <w:tcW w:w="574"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24</w:t>
            </w:r>
          </w:p>
        </w:tc>
        <w:tc>
          <w:tcPr>
            <w:tcW w:w="152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继续推进异地就医直接结算。</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扩大跨省异地就医直接结算范围，把基层医院和外出农民工、外来就业创业人员等全部纳入。</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做好新农合大病保险跨省异地就医即时结算工作。</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★市人社局</w:t>
            </w:r>
          </w:p>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基层卫生科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3" w:hRule="atLeast"/>
        </w:trPr>
        <w:tc>
          <w:tcPr>
            <w:tcW w:w="574"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25</w:t>
            </w:r>
          </w:p>
        </w:tc>
        <w:tc>
          <w:tcPr>
            <w:tcW w:w="152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建立健全医疗卫生行业综合监管体系。</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加强行业综合监管，制定下发舒兰市关于改革完善医疗卫生行业综合监管制度的实施方案，落实监管主体和监管责任。完善政府主导、第三方负责、医疗卫生机构自我管理和社会监督为补充的多元化综合监管体系。</w:t>
            </w:r>
          </w:p>
        </w:tc>
        <w:tc>
          <w:tcPr>
            <w:tcW w:w="3795" w:type="dxa"/>
            <w:gridSpan w:val="2"/>
            <w:vAlign w:val="center"/>
          </w:tcPr>
          <w:p>
            <w:pPr>
              <w:widowControl/>
              <w:numPr>
                <w:ilvl w:val="0"/>
                <w:numId w:val="6"/>
              </w:numPr>
              <w:rPr>
                <w:rFonts w:hint="eastAsia" w:ascii="仿宋_GB2312" w:hAnsi="仿宋" w:eastAsia="仿宋_GB2312" w:cs="仿宋"/>
                <w:kern w:val="0"/>
                <w:szCs w:val="21"/>
              </w:rPr>
            </w:pPr>
            <w:r>
              <w:rPr>
                <w:rFonts w:hint="eastAsia" w:ascii="仿宋_GB2312" w:hAnsi="仿宋" w:eastAsia="仿宋_GB2312" w:cs="仿宋"/>
                <w:kern w:val="0"/>
                <w:szCs w:val="21"/>
              </w:rPr>
              <w:t>加强事中、事后监管。</w:t>
            </w:r>
          </w:p>
          <w:p>
            <w:pPr>
              <w:widowControl/>
              <w:numPr>
                <w:ilvl w:val="0"/>
                <w:numId w:val="6"/>
              </w:numPr>
              <w:rPr>
                <w:rFonts w:hint="eastAsia" w:ascii="仿宋_GB2312" w:hAnsi="仿宋" w:eastAsia="仿宋_GB2312" w:cs="仿宋"/>
                <w:kern w:val="0"/>
                <w:szCs w:val="21"/>
              </w:rPr>
            </w:pPr>
            <w:r>
              <w:rPr>
                <w:rFonts w:hint="eastAsia" w:ascii="仿宋_GB2312" w:hAnsi="仿宋" w:eastAsia="仿宋_GB2312" w:cs="仿宋"/>
                <w:kern w:val="0"/>
                <w:szCs w:val="21"/>
              </w:rPr>
              <w:t>“双随机一公开”抽查。</w:t>
            </w:r>
          </w:p>
          <w:p>
            <w:pPr>
              <w:widowControl/>
              <w:numPr>
                <w:ilvl w:val="0"/>
                <w:numId w:val="6"/>
              </w:numPr>
              <w:rPr>
                <w:rFonts w:hint="eastAsia" w:ascii="仿宋_GB2312" w:hAnsi="仿宋" w:eastAsia="仿宋_GB2312" w:cs="仿宋"/>
                <w:kern w:val="0"/>
                <w:szCs w:val="21"/>
              </w:rPr>
            </w:pPr>
            <w:r>
              <w:rPr>
                <w:rFonts w:hint="eastAsia" w:ascii="仿宋_GB2312" w:hAnsi="仿宋" w:eastAsia="仿宋_GB2312" w:cs="仿宋"/>
                <w:kern w:val="0"/>
                <w:szCs w:val="21"/>
              </w:rPr>
              <w:t>行业协会内部约束，</w:t>
            </w:r>
          </w:p>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聘请人民监督员明察暗访。</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市人社局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市市场监督管理局市政府法制办</w:t>
            </w:r>
            <w:r>
              <w:rPr>
                <w:rFonts w:hint="eastAsia" w:ascii="仿宋_GB2312" w:hAnsi="仿宋" w:eastAsia="仿宋_GB2312" w:cs="仿宋"/>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综合监督科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26</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建立“放管服”相结合的监管新机制。</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进一步转变政府职能、简政放权，推进医药卫生领域行政审批制度改革。</w:t>
            </w:r>
          </w:p>
        </w:tc>
        <w:tc>
          <w:tcPr>
            <w:tcW w:w="3795" w:type="dxa"/>
            <w:gridSpan w:val="2"/>
            <w:vAlign w:val="center"/>
          </w:tcPr>
          <w:p>
            <w:pPr>
              <w:pStyle w:val="4"/>
              <w:widowControl/>
              <w:tabs>
                <w:tab w:val="left" w:pos="1134"/>
              </w:tabs>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1.按照市政务服务中心“统一受理、集成服务”改革要求，设置社会事务综合窗口，市卫生计生局为社会事务综合窗口业务开展牵头部门，根据政务大厅工作安排统筹推进各项工作。</w:t>
            </w:r>
          </w:p>
          <w:p>
            <w:pPr>
              <w:pStyle w:val="4"/>
              <w:widowControl/>
              <w:tabs>
                <w:tab w:val="left" w:pos="1134"/>
              </w:tabs>
              <w:rPr>
                <w:rFonts w:hint="eastAsia" w:ascii="仿宋_GB2312" w:hAnsi="仿宋" w:eastAsia="仿宋_GB2312" w:cs="仿宋"/>
                <w:sz w:val="21"/>
                <w:szCs w:val="21"/>
              </w:rPr>
            </w:pPr>
            <w:r>
              <w:rPr>
                <w:rFonts w:hint="eastAsia" w:ascii="仿宋_GB2312" w:hAnsi="仿宋" w:eastAsia="仿宋_GB2312" w:cs="仿宋"/>
                <w:kern w:val="0"/>
                <w:sz w:val="21"/>
                <w:szCs w:val="21"/>
              </w:rPr>
              <w:t>2.制作标准。进一步梳理群众和企业到政府办事“只跑一次”汇总表和制作审批项目办事指南，明确审批项目所需要件、办理流程、办理方式等。</w:t>
            </w:r>
          </w:p>
          <w:p>
            <w:pPr>
              <w:widowControl/>
              <w:rPr>
                <w:rFonts w:hint="eastAsia" w:ascii="仿宋_GB2312" w:hAnsi="仿宋" w:eastAsia="仿宋_GB2312" w:cs="仿宋"/>
                <w:kern w:val="0"/>
                <w:szCs w:val="21"/>
              </w:rPr>
            </w:pPr>
          </w:p>
        </w:tc>
        <w:tc>
          <w:tcPr>
            <w:tcW w:w="1905" w:type="dxa"/>
            <w:vMerge w:val="restart"/>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市人社局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市市场监督管理局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审批办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落实实施“双随机、一公开”，强化事中事后监管。</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建立多层面被监督市场主体名录库、实施全覆盖抽查</w:t>
            </w:r>
          </w:p>
        </w:tc>
        <w:tc>
          <w:tcPr>
            <w:tcW w:w="1905" w:type="dxa"/>
            <w:vMerge w:val="continue"/>
            <w:vAlign w:val="center"/>
          </w:tcPr>
          <w:p>
            <w:pPr>
              <w:widowControl/>
              <w:spacing w:line="440" w:lineRule="exact"/>
              <w:ind w:left="-30" w:right="-30"/>
              <w:jc w:val="left"/>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综合监督科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27</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加大综合监管力度。</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对各级各类医疗卫生机构监督检查覆盖率达到80%以上。</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日常监管与“双随机一公开”相结合，覆盖率达80%以上。</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综合监督科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通过2018年全省医疗保险医药服务反欺诈交叉互检“利剑”行动，推进医疗服务智能监控审核系统的升级和应用。</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开展我市定点医药机构开展反欺诈检查工作。</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★市人社局</w:t>
            </w:r>
            <w:r>
              <w:rPr>
                <w:rFonts w:hint="eastAsia" w:ascii="仿宋_GB2312" w:hAnsi="仿宋" w:eastAsia="仿宋_GB2312" w:cs="仿宋"/>
                <w:b/>
                <w:bCs/>
                <w:kern w:val="0"/>
                <w:szCs w:val="21"/>
              </w:rPr>
              <w:br w:type="textWrapping"/>
            </w:r>
            <w:r>
              <w:rPr>
                <w:rFonts w:hint="eastAsia" w:ascii="仿宋_GB2312" w:hAnsi="仿宋" w:eastAsia="仿宋_GB2312" w:cs="仿宋"/>
                <w:b/>
                <w:bCs/>
                <w:kern w:val="0"/>
                <w:szCs w:val="21"/>
              </w:rPr>
              <w:t>★市卫生计生局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基层卫生科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开展药品生产流通领域检查，严厉打击药品生产经营违法犯罪行为。</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做好日常督导检查。</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★市市场监督</w:t>
            </w:r>
          </w:p>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管理局</w:t>
            </w:r>
          </w:p>
        </w:tc>
        <w:tc>
          <w:tcPr>
            <w:tcW w:w="1725" w:type="dxa"/>
            <w:vAlign w:val="center"/>
          </w:tcPr>
          <w:p>
            <w:pPr>
              <w:widowControl/>
              <w:spacing w:line="360" w:lineRule="exact"/>
              <w:ind w:left="-28" w:right="-28"/>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28</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加强以全科医生为重点的卫生人才队伍建设。</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完善落实全科医生培养与使用激励机制。</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按照《</w:t>
            </w:r>
            <w:r>
              <w:rPr>
                <w:rFonts w:hint="eastAsia" w:ascii="仿宋_GB2312" w:hAnsi="仿宋" w:eastAsia="仿宋_GB2312" w:cs="仿宋"/>
                <w:kern w:val="0"/>
                <w:sz w:val="20"/>
                <w:szCs w:val="20"/>
              </w:rPr>
              <w:t>吉林省人民政府办公厅关于</w:t>
            </w:r>
            <w:r>
              <w:rPr>
                <w:rFonts w:hint="eastAsia" w:ascii="仿宋_GB2312" w:hAnsi="仿宋" w:eastAsia="仿宋_GB2312" w:cs="仿宋"/>
                <w:kern w:val="0"/>
                <w:szCs w:val="21"/>
              </w:rPr>
              <w:t>改革完善全科医生培养与使用激励机制的实施方案的通知》和吉林市实施细则，落实全科医生培养与使用激励机制。</w:t>
            </w:r>
          </w:p>
        </w:tc>
        <w:tc>
          <w:tcPr>
            <w:tcW w:w="1905" w:type="dxa"/>
            <w:vMerge w:val="restart"/>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p>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kern w:val="0"/>
                <w:szCs w:val="21"/>
              </w:rPr>
              <w:t>市人社局</w:t>
            </w:r>
          </w:p>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市财政局</w:t>
            </w:r>
          </w:p>
          <w:p>
            <w:pPr>
              <w:widowControl/>
              <w:spacing w:line="440" w:lineRule="exact"/>
              <w:ind w:left="-30" w:right="-30"/>
              <w:jc w:val="center"/>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p>
            <w:pPr>
              <w:widowControl/>
              <w:spacing w:line="440" w:lineRule="exact"/>
              <w:ind w:left="-30" w:right="-30"/>
              <w:jc w:val="center"/>
              <w:rPr>
                <w:rFonts w:hint="eastAsia" w:ascii="仿宋_GB2312" w:hAnsi="仿宋" w:eastAsia="仿宋_GB2312"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继续开展农村订单定向医学生免费培养工作。</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按省卫生计生委要求开展农村订单定向免费医学生培养签约、安置工作。</w:t>
            </w:r>
          </w:p>
        </w:tc>
        <w:tc>
          <w:tcPr>
            <w:tcW w:w="1905" w:type="dxa"/>
            <w:vMerge w:val="continue"/>
            <w:vAlign w:val="center"/>
          </w:tcPr>
          <w:p>
            <w:pPr>
              <w:widowControl/>
              <w:spacing w:line="440" w:lineRule="exact"/>
              <w:ind w:left="-30" w:right="-30"/>
              <w:jc w:val="left"/>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完善卫生系列专业技术人员职称制度，探索人才分级分类管理，引导、激励三级医院专业人才下基层服务，带动基层服务能力提升。优化基层医疗卫生机构专业技术岗位结构比例。</w:t>
            </w:r>
          </w:p>
        </w:tc>
        <w:tc>
          <w:tcPr>
            <w:tcW w:w="3795" w:type="dxa"/>
            <w:gridSpan w:val="2"/>
            <w:vAlign w:val="center"/>
          </w:tcPr>
          <w:p>
            <w:pPr>
              <w:widowControl/>
              <w:rPr>
                <w:rFonts w:hint="eastAsia" w:ascii="仿宋_GB2312" w:hAnsi="仿宋" w:eastAsia="仿宋_GB2312" w:cs="仿宋"/>
                <w:kern w:val="0"/>
                <w:szCs w:val="21"/>
              </w:rPr>
            </w:pP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★市人社局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市卫生计生局</w:t>
            </w:r>
            <w:r>
              <w:rPr>
                <w:rFonts w:hint="eastAsia" w:ascii="仿宋_GB2312" w:hAnsi="仿宋" w:eastAsia="仿宋_GB2312" w:cs="仿宋"/>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人事儿科</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29</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进一步加强信息化建设。</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在医疗领域推进“互联网+医疗健康”工作。依托省级全民健康信息平台基础框架，推进基层医疗卫生机构管理信息系统建设。</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依托省级全民健康信息平台基础框架，推进基层医疗卫生机构管理信息系统建设。</w:t>
            </w:r>
          </w:p>
        </w:tc>
        <w:tc>
          <w:tcPr>
            <w:tcW w:w="1905" w:type="dxa"/>
            <w:vAlign w:val="center"/>
          </w:tcPr>
          <w:p>
            <w:pPr>
              <w:widowControl/>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市发改局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市财政局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市公安局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市民政局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市统计局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规划信息科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推进医疗、工伤、生育保险（含新农合）经办管理信息系统建设。</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提高服务效率，助力“只跑一次”改革</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★市人社局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基层卫生科</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7"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全面实施医疗机构、医师、护士电子化注册管理改革。</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1、制定了《舒兰市医疗机构、医师、护士电子化注册工作实施方案》</w:t>
            </w:r>
          </w:p>
          <w:p>
            <w:pPr>
              <w:widowControl/>
              <w:rPr>
                <w:rFonts w:hint="eastAsia" w:ascii="仿宋_GB2312" w:hAnsi="仿宋" w:eastAsia="仿宋_GB2312" w:cs="仿宋"/>
                <w:kern w:val="0"/>
                <w:szCs w:val="21"/>
              </w:rPr>
            </w:pPr>
            <w:r>
              <w:rPr>
                <w:rFonts w:hint="eastAsia" w:ascii="仿宋_GB2312" w:hAnsi="仿宋" w:eastAsia="仿宋_GB2312" w:cs="仿宋"/>
                <w:kern w:val="0"/>
                <w:szCs w:val="21"/>
              </w:rPr>
              <w:t>2、召开医疗机构审批管理暨医师电子化注册和医疗机构暨护士电子化注册工作会议。</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审批办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30</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支持社会力量提供多层次多样化医疗服务。</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调整和新增健康服务资源优先考虑社会资本，鼓励社会力量发展医学检验实验室、病理诊断中心、医学影像诊断中心、血液透析中心、康复医疗中心、安宁疗护中心等第三方医疗机构。</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拟制并报请市政府印发舒兰市支持社会力量提供多层次多样化医疗服力实施方案。</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★市发改局</w:t>
            </w:r>
          </w:p>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p>
          <w:p>
            <w:pPr>
              <w:widowControl/>
              <w:spacing w:line="440" w:lineRule="exact"/>
              <w:ind w:left="-30" w:right="-30"/>
              <w:jc w:val="center"/>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7"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持续开展医养结合工作，实现85%以上的养老机构能够以不同形式为入住的老年人提供医疗服务;所有二级以上医疗机构开设为老年人提供挂号就医等便利服务。</w:t>
            </w:r>
          </w:p>
        </w:tc>
        <w:tc>
          <w:tcPr>
            <w:tcW w:w="3795" w:type="dxa"/>
            <w:gridSpan w:val="2"/>
            <w:vAlign w:val="center"/>
          </w:tcPr>
          <w:p>
            <w:pPr>
              <w:pStyle w:val="2"/>
              <w:numPr>
                <w:ilvl w:val="0"/>
                <w:numId w:val="7"/>
              </w:numPr>
              <w:spacing w:line="240" w:lineRule="auto"/>
              <w:rPr>
                <w:rFonts w:hint="eastAsia" w:ascii="仿宋_GB2312" w:hAnsi="仿宋" w:eastAsia="仿宋_GB2312" w:cs="仿宋"/>
                <w:sz w:val="21"/>
                <w:szCs w:val="21"/>
              </w:rPr>
            </w:pPr>
            <w:r>
              <w:rPr>
                <w:rFonts w:hint="eastAsia" w:ascii="仿宋_GB2312" w:hAnsi="仿宋" w:eastAsia="仿宋_GB2312" w:cs="仿宋"/>
                <w:sz w:val="21"/>
                <w:szCs w:val="21"/>
              </w:rPr>
              <w:t>继续落实《吉林市推进医疗卫生与养老服务融合发展的实施方案》（吉市政办发〔2017〕48号）。</w:t>
            </w:r>
          </w:p>
          <w:p>
            <w:pPr>
              <w:pStyle w:val="2"/>
              <w:numPr>
                <w:ilvl w:val="0"/>
                <w:numId w:val="7"/>
              </w:numPr>
              <w:spacing w:line="240" w:lineRule="auto"/>
              <w:rPr>
                <w:rFonts w:hint="eastAsia" w:ascii="仿宋_GB2312" w:hAnsi="仿宋" w:eastAsia="仿宋_GB2312" w:cs="仿宋"/>
                <w:sz w:val="21"/>
                <w:szCs w:val="21"/>
              </w:rPr>
            </w:pPr>
            <w:r>
              <w:rPr>
                <w:rFonts w:hint="eastAsia" w:ascii="仿宋_GB2312" w:hAnsi="仿宋" w:eastAsia="仿宋_GB2312" w:cs="仿宋"/>
                <w:sz w:val="21"/>
                <w:szCs w:val="21"/>
              </w:rPr>
              <w:t>组织医疗机构与周边养老机构开展医疗合作，提供医疗护理服务。</w:t>
            </w:r>
          </w:p>
          <w:p>
            <w:pPr>
              <w:pStyle w:val="2"/>
              <w:numPr>
                <w:ilvl w:val="0"/>
                <w:numId w:val="7"/>
              </w:numPr>
              <w:spacing w:line="240" w:lineRule="auto"/>
              <w:rPr>
                <w:rFonts w:hint="eastAsia" w:ascii="仿宋_GB2312" w:hAnsi="仿宋" w:eastAsia="仿宋_GB2312" w:cs="仿宋"/>
                <w:sz w:val="21"/>
                <w:szCs w:val="21"/>
              </w:rPr>
            </w:pPr>
            <w:r>
              <w:rPr>
                <w:rFonts w:hint="eastAsia" w:ascii="仿宋_GB2312" w:hAnsi="仿宋" w:eastAsia="仿宋_GB2312" w:cs="仿宋"/>
                <w:sz w:val="21"/>
                <w:szCs w:val="21"/>
              </w:rPr>
              <w:t>在全市二级以上医疗机构全面落实老年人医疗服务优待政策，</w:t>
            </w:r>
          </w:p>
          <w:p>
            <w:pPr>
              <w:widowControl/>
              <w:rPr>
                <w:rFonts w:hint="eastAsia" w:ascii="仿宋_GB2312" w:hAnsi="仿宋" w:eastAsia="仿宋_GB2312" w:cs="仿宋"/>
                <w:kern w:val="0"/>
                <w:szCs w:val="21"/>
              </w:rPr>
            </w:pP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b/>
                <w:bCs/>
                <w:kern w:val="0"/>
                <w:szCs w:val="21"/>
              </w:rPr>
              <w:t>★市民政局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市发改局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市人社局</w:t>
            </w:r>
            <w:r>
              <w:rPr>
                <w:rFonts w:hint="eastAsia" w:ascii="仿宋_GB2312" w:hAnsi="仿宋" w:eastAsia="仿宋_GB2312" w:cs="仿宋"/>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家庭发展科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31</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扎实推进健康扶贫工作。</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落实健康扶贫“三个一批”行动计划，扩大大病集中救治病种。落实建档立卡贫困人口大病兜底保障实施方案。</w:t>
            </w:r>
          </w:p>
        </w:tc>
        <w:tc>
          <w:tcPr>
            <w:tcW w:w="3795" w:type="dxa"/>
            <w:gridSpan w:val="2"/>
            <w:vAlign w:val="center"/>
          </w:tcPr>
          <w:p>
            <w:pPr>
              <w:widowControl/>
              <w:rPr>
                <w:rFonts w:hint="eastAsia" w:ascii="仿宋_GB2312" w:hAnsi="仿宋" w:eastAsia="仿宋_GB2312" w:cs="仿宋"/>
                <w:szCs w:val="21"/>
              </w:rPr>
            </w:pPr>
            <w:r>
              <w:rPr>
                <w:rFonts w:hint="eastAsia" w:ascii="仿宋_GB2312" w:hAnsi="仿宋" w:eastAsia="仿宋_GB2312" w:cs="仿宋"/>
                <w:szCs w:val="21"/>
              </w:rPr>
              <w:t>制定《关于组织实施健康扶贫工程“三个一批”行动计划的通知》（吉卫联发2017年37号）和增加了肺癌、乳腺癌、宫颈癌、儿童肿瘤</w:t>
            </w:r>
            <w:r>
              <w:rPr>
                <w:rFonts w:hint="eastAsia" w:ascii="仿宋" w:hAnsi="仿宋" w:eastAsia="仿宋_GB2312" w:cs="仿宋"/>
                <w:szCs w:val="21"/>
              </w:rPr>
              <w:t> </w:t>
            </w:r>
            <w:r>
              <w:rPr>
                <w:rFonts w:hint="eastAsia" w:ascii="仿宋_GB2312" w:hAnsi="仿宋" w:eastAsia="仿宋_GB2312" w:cs="仿宋"/>
                <w:szCs w:val="21"/>
              </w:rPr>
              <w:t>和尘肺病集中救治。</w:t>
            </w:r>
          </w:p>
          <w:p>
            <w:pPr>
              <w:widowControl/>
              <w:rPr>
                <w:rFonts w:hint="eastAsia" w:ascii="仿宋_GB2312" w:hAnsi="仿宋" w:eastAsia="仿宋_GB2312" w:cs="仿宋"/>
                <w:kern w:val="0"/>
                <w:szCs w:val="21"/>
              </w:rPr>
            </w:pPr>
          </w:p>
        </w:tc>
        <w:tc>
          <w:tcPr>
            <w:tcW w:w="1905" w:type="dxa"/>
            <w:vMerge w:val="restart"/>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市人社局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市财政局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市脱贫办</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市民政局</w:t>
            </w:r>
            <w:r>
              <w:rPr>
                <w:rFonts w:hint="eastAsia" w:ascii="仿宋_GB2312" w:hAnsi="仿宋" w:eastAsia="仿宋_GB2312" w:cs="仿宋"/>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市脱贫办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坚持“一人一策”原则，继续实施“先诊疗、后付费”。积极做好“万名医师健康扶贫巡回医疗”工作，实施分类救治、精准救治。</w:t>
            </w:r>
          </w:p>
        </w:tc>
        <w:tc>
          <w:tcPr>
            <w:tcW w:w="3795" w:type="dxa"/>
            <w:gridSpan w:val="2"/>
            <w:vAlign w:val="center"/>
          </w:tcPr>
          <w:p>
            <w:pPr>
              <w:numPr>
                <w:ilvl w:val="0"/>
                <w:numId w:val="8"/>
              </w:numPr>
              <w:snapToGrid w:val="0"/>
              <w:rPr>
                <w:rFonts w:hint="eastAsia" w:ascii="仿宋_GB2312" w:hAnsi="仿宋" w:eastAsia="仿宋_GB2312" w:cs="仿宋"/>
                <w:kern w:val="0"/>
                <w:szCs w:val="21"/>
              </w:rPr>
            </w:pPr>
            <w:r>
              <w:rPr>
                <w:rFonts w:hint="eastAsia" w:ascii="仿宋_GB2312" w:hAnsi="仿宋" w:eastAsia="仿宋_GB2312" w:cs="仿宋"/>
                <w:kern w:val="0"/>
                <w:szCs w:val="21"/>
              </w:rPr>
              <w:t>继续落实吉林市农村困住院患者县域内“先诊疗、后付费”工作方案。</w:t>
            </w:r>
          </w:p>
          <w:p>
            <w:pPr>
              <w:numPr>
                <w:ilvl w:val="0"/>
                <w:numId w:val="8"/>
              </w:numPr>
              <w:snapToGrid w:val="0"/>
              <w:rPr>
                <w:rFonts w:hint="eastAsia" w:ascii="仿宋_GB2312" w:hAnsi="仿宋" w:eastAsia="仿宋_GB2312" w:cs="仿宋"/>
                <w:kern w:val="0"/>
                <w:szCs w:val="21"/>
              </w:rPr>
            </w:pPr>
            <w:r>
              <w:rPr>
                <w:rFonts w:hint="eastAsia" w:ascii="仿宋_GB2312" w:hAnsi="仿宋" w:eastAsia="仿宋_GB2312" w:cs="仿宋"/>
                <w:kern w:val="0"/>
                <w:szCs w:val="21"/>
              </w:rPr>
              <w:t>进行月调度。</w:t>
            </w:r>
          </w:p>
          <w:p>
            <w:pPr>
              <w:numPr>
                <w:ilvl w:val="0"/>
                <w:numId w:val="8"/>
              </w:numPr>
              <w:snapToGrid w:val="0"/>
              <w:rPr>
                <w:rFonts w:hint="eastAsia" w:ascii="仿宋_GB2312" w:hAnsi="仿宋" w:eastAsia="仿宋_GB2312" w:cs="仿宋"/>
                <w:kern w:val="0"/>
                <w:szCs w:val="21"/>
              </w:rPr>
            </w:pPr>
            <w:r>
              <w:rPr>
                <w:rFonts w:hint="eastAsia" w:ascii="仿宋_GB2312" w:hAnsi="仿宋" w:eastAsia="仿宋_GB2312" w:cs="仿宋"/>
                <w:kern w:val="0"/>
                <w:szCs w:val="21"/>
              </w:rPr>
              <w:t>对工作完成情况进行通报。</w:t>
            </w:r>
          </w:p>
        </w:tc>
        <w:tc>
          <w:tcPr>
            <w:tcW w:w="1905" w:type="dxa"/>
            <w:vMerge w:val="continue"/>
            <w:vAlign w:val="center"/>
          </w:tcPr>
          <w:p>
            <w:pPr>
              <w:widowControl/>
              <w:spacing w:line="440" w:lineRule="exact"/>
              <w:ind w:left="-30" w:right="-30"/>
              <w:jc w:val="left"/>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32</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调动医务人员积极性。</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按照</w:t>
            </w:r>
            <w:r>
              <w:rPr>
                <w:rFonts w:hint="eastAsia" w:ascii="仿宋_GB2312" w:hAnsi="仿宋" w:eastAsia="仿宋_GB2312" w:cs="仿宋"/>
                <w:szCs w:val="21"/>
              </w:rPr>
              <w:t>《关于进一步完善吉林省基层医疗卫生机构经费补偿政策的通知》（吉财社〔2017〕333号）要求，</w:t>
            </w:r>
            <w:r>
              <w:rPr>
                <w:rFonts w:hint="eastAsia" w:ascii="仿宋_GB2312" w:hAnsi="仿宋" w:eastAsia="仿宋_GB2312" w:cs="仿宋"/>
                <w:kern w:val="0"/>
                <w:szCs w:val="21"/>
              </w:rPr>
              <w:t>完善基层医疗卫生机构绩效考核办法，落实业务收支结余主要用于人员绩效奖励政策。</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szCs w:val="21"/>
              </w:rPr>
              <w:t>贯彻落实《关于进一步完善吉林省基层医疗卫生机构经费补偿政策的通知》（吉财社〔2017〕333号）要求,强化绩效考核措施，允许</w:t>
            </w:r>
            <w:r>
              <w:rPr>
                <w:rFonts w:hint="eastAsia" w:ascii="仿宋_GB2312" w:hAnsi="仿宋" w:eastAsia="仿宋_GB2312" w:cs="仿宋"/>
                <w:kern w:val="0"/>
                <w:szCs w:val="21"/>
              </w:rPr>
              <w:t>业务收支结余主要用于人员绩效奖励政策。</w:t>
            </w:r>
          </w:p>
        </w:tc>
        <w:tc>
          <w:tcPr>
            <w:tcW w:w="1905" w:type="dxa"/>
            <w:vMerge w:val="restart"/>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市人社局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市财政局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市公安局</w:t>
            </w:r>
            <w:r>
              <w:rPr>
                <w:rFonts w:hint="eastAsia" w:ascii="仿宋_GB2312" w:hAnsi="仿宋" w:eastAsia="仿宋_GB2312" w:cs="仿宋"/>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开展“中国医师节”活动，积极参与“舒兰好人·健康卫士”先进事迹宣传活动，激发广大医务人员职业荣誉感和自豪感。</w:t>
            </w:r>
          </w:p>
        </w:tc>
        <w:tc>
          <w:tcPr>
            <w:tcW w:w="3795" w:type="dxa"/>
            <w:gridSpan w:val="2"/>
            <w:vAlign w:val="center"/>
          </w:tcPr>
          <w:p>
            <w:pPr>
              <w:widowControl/>
              <w:tabs>
                <w:tab w:val="left" w:pos="1122"/>
              </w:tabs>
              <w:rPr>
                <w:rFonts w:hint="eastAsia" w:ascii="仿宋_GB2312" w:hAnsi="仿宋" w:eastAsia="仿宋_GB2312" w:cs="仿宋"/>
                <w:kern w:val="0"/>
                <w:szCs w:val="21"/>
              </w:rPr>
            </w:pPr>
            <w:r>
              <w:rPr>
                <w:rFonts w:hint="eastAsia" w:ascii="仿宋_GB2312" w:hAnsi="仿宋" w:eastAsia="仿宋_GB2312" w:cs="仿宋"/>
                <w:kern w:val="0"/>
                <w:szCs w:val="21"/>
              </w:rPr>
              <w:t>利用电视、报纸、电台专栏节目，加大医改宣传力度；启用新媒体，拓展宣传平台渠道对我市医改宣传。在局“健康舒兰”公众微信平台和舒兰市卫生计生局新浪微博发布我市医改相关政策和重大活动信息；利用卫生计生重大纪念日，组织宣传医改政策咨询、发放资料等形式开展丰富多彩的宣传活动。增强人民群众对医改政策的全面了解和掌握。</w:t>
            </w:r>
          </w:p>
          <w:p>
            <w:pPr>
              <w:widowControl/>
              <w:tabs>
                <w:tab w:val="left" w:pos="1122"/>
              </w:tabs>
              <w:rPr>
                <w:rFonts w:hint="eastAsia" w:ascii="仿宋_GB2312" w:hAnsi="仿宋" w:eastAsia="仿宋_GB2312" w:cs="仿宋"/>
                <w:kern w:val="0"/>
                <w:szCs w:val="21"/>
              </w:rPr>
            </w:pPr>
          </w:p>
        </w:tc>
        <w:tc>
          <w:tcPr>
            <w:tcW w:w="1905" w:type="dxa"/>
            <w:vMerge w:val="continue"/>
            <w:vAlign w:val="center"/>
          </w:tcPr>
          <w:p>
            <w:pPr>
              <w:widowControl/>
              <w:spacing w:line="440" w:lineRule="exact"/>
              <w:ind w:left="-30" w:right="-30"/>
              <w:jc w:val="left"/>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依法严厉打击涉医违法犯罪，对暴力伤医“零容忍”，建立联合惩戒机制。2018年，二级公立医院医疗责任保险参保率分别达到90%以上。</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1.开展涉医案件月调度。汇同市综治办、公安局、司法局等单位严厉打击涉医违法犯罪。</w:t>
            </w:r>
          </w:p>
          <w:p>
            <w:pPr>
              <w:widowControl/>
              <w:numPr>
                <w:ilvl w:val="0"/>
                <w:numId w:val="9"/>
              </w:numPr>
              <w:rPr>
                <w:rFonts w:hint="eastAsia" w:ascii="仿宋_GB2312" w:hAnsi="仿宋" w:eastAsia="仿宋_GB2312" w:cs="仿宋"/>
                <w:kern w:val="0"/>
                <w:szCs w:val="21"/>
              </w:rPr>
            </w:pPr>
            <w:r>
              <w:rPr>
                <w:rFonts w:hint="eastAsia" w:ascii="仿宋_GB2312" w:hAnsi="仿宋" w:eastAsia="仿宋_GB2312" w:cs="仿宋"/>
                <w:kern w:val="0"/>
                <w:szCs w:val="21"/>
              </w:rPr>
              <w:t>开展医疗纠纷人民调解，落实医疗责任保险参保率。</w:t>
            </w:r>
          </w:p>
          <w:p>
            <w:pPr>
              <w:widowControl/>
              <w:numPr>
                <w:ilvl w:val="0"/>
                <w:numId w:val="9"/>
              </w:numPr>
              <w:rPr>
                <w:rFonts w:hint="eastAsia" w:ascii="仿宋_GB2312" w:hAnsi="仿宋" w:eastAsia="仿宋_GB2312" w:cs="仿宋"/>
                <w:kern w:val="0"/>
                <w:szCs w:val="21"/>
              </w:rPr>
            </w:pPr>
            <w:r>
              <w:rPr>
                <w:rFonts w:hint="eastAsia" w:ascii="仿宋_GB2312" w:hAnsi="仿宋" w:eastAsia="仿宋_GB2312" w:cs="仿宋"/>
                <w:kern w:val="0"/>
                <w:szCs w:val="21"/>
              </w:rPr>
              <w:t>开展督导检查。</w:t>
            </w:r>
          </w:p>
        </w:tc>
        <w:tc>
          <w:tcPr>
            <w:tcW w:w="1905" w:type="dxa"/>
            <w:vMerge w:val="continue"/>
            <w:vAlign w:val="center"/>
          </w:tcPr>
          <w:p>
            <w:pPr>
              <w:widowControl/>
              <w:spacing w:line="440" w:lineRule="exact"/>
              <w:ind w:left="-30" w:right="-30"/>
              <w:jc w:val="left"/>
              <w:rPr>
                <w:rFonts w:hint="eastAsia" w:ascii="仿宋_GB2312" w:hAnsi="仿宋" w:eastAsia="仿宋_GB2312" w:cs="仿宋"/>
                <w:b/>
                <w:bCs/>
                <w:kern w:val="0"/>
                <w:szCs w:val="21"/>
              </w:rPr>
            </w:pP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574" w:type="dxa"/>
            <w:vMerge w:val="restart"/>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33</w:t>
            </w:r>
          </w:p>
        </w:tc>
        <w:tc>
          <w:tcPr>
            <w:tcW w:w="1526" w:type="dxa"/>
            <w:vMerge w:val="restart"/>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完善公共卫生服务体系建设。</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人均基本公共卫生服务经费财政补助标准提高到55元。</w:t>
            </w:r>
          </w:p>
        </w:tc>
        <w:tc>
          <w:tcPr>
            <w:tcW w:w="3795" w:type="dxa"/>
            <w:gridSpan w:val="2"/>
            <w:vAlign w:val="center"/>
          </w:tcPr>
          <w:p>
            <w:pPr>
              <w:numPr>
                <w:ilvl w:val="0"/>
                <w:numId w:val="10"/>
              </w:numPr>
              <w:rPr>
                <w:rFonts w:hint="eastAsia" w:ascii="仿宋_GB2312" w:hAnsi="仿宋" w:eastAsia="仿宋_GB2312" w:cs="仿宋"/>
                <w:kern w:val="0"/>
                <w:szCs w:val="21"/>
              </w:rPr>
            </w:pPr>
            <w:r>
              <w:rPr>
                <w:rFonts w:hint="eastAsia" w:ascii="仿宋_GB2312" w:hAnsi="仿宋" w:eastAsia="仿宋_GB2312" w:cs="仿宋"/>
                <w:kern w:val="0"/>
                <w:szCs w:val="21"/>
              </w:rPr>
              <w:t>市卫生计生局申请市财政局将此补助资金及时拨付给各城区。</w:t>
            </w:r>
          </w:p>
          <w:p>
            <w:pPr>
              <w:numPr>
                <w:ilvl w:val="0"/>
                <w:numId w:val="10"/>
              </w:numPr>
              <w:rPr>
                <w:rFonts w:hint="eastAsia" w:ascii="仿宋_GB2312" w:hAnsi="仿宋" w:eastAsia="仿宋_GB2312" w:cs="仿宋"/>
                <w:kern w:val="0"/>
                <w:szCs w:val="21"/>
              </w:rPr>
            </w:pPr>
            <w:r>
              <w:rPr>
                <w:rFonts w:hint="eastAsia" w:ascii="仿宋_GB2312" w:hAnsi="仿宋" w:eastAsia="仿宋_GB2312" w:cs="仿宋"/>
                <w:kern w:val="0"/>
                <w:szCs w:val="21"/>
              </w:rPr>
              <w:t>新增经费重点向乡村医生倾斜，用于加强村级基本公共卫生服务工作。</w:t>
            </w:r>
          </w:p>
          <w:p>
            <w:pPr>
              <w:rPr>
                <w:rFonts w:hint="eastAsia" w:ascii="仿宋_GB2312" w:hAnsi="仿宋" w:eastAsia="仿宋_GB2312" w:cs="仿宋"/>
                <w:kern w:val="0"/>
                <w:szCs w:val="21"/>
              </w:rPr>
            </w:pPr>
            <w:r>
              <w:rPr>
                <w:rFonts w:hint="eastAsia" w:ascii="仿宋_GB2312" w:hAnsi="仿宋" w:eastAsia="仿宋_GB2312" w:cs="仿宋"/>
                <w:kern w:val="0"/>
                <w:szCs w:val="21"/>
              </w:rPr>
              <w:t>3.市卫生计生局会同市财政局定期</w:t>
            </w:r>
            <w:r>
              <w:rPr>
                <w:rFonts w:hint="eastAsia" w:ascii="仿宋_GB2312" w:hAnsi="仿宋" w:eastAsia="仿宋_GB2312" w:cs="仿宋"/>
                <w:szCs w:val="21"/>
              </w:rPr>
              <w:t>考核县（市）区级财政部门的资金预算安排、资金拨付等情况。</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★市财政局</w:t>
            </w:r>
          </w:p>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kern w:val="0"/>
                <w:szCs w:val="21"/>
              </w:rPr>
              <w:t>市卫生计生局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基层卫生科</w:t>
            </w:r>
          </w:p>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优化基本公共卫生服务项目，提高服务质量。</w:t>
            </w:r>
          </w:p>
        </w:tc>
        <w:tc>
          <w:tcPr>
            <w:tcW w:w="3795" w:type="dxa"/>
            <w:gridSpan w:val="2"/>
            <w:vAlign w:val="center"/>
          </w:tcPr>
          <w:p>
            <w:pPr>
              <w:rPr>
                <w:rFonts w:hint="eastAsia" w:ascii="仿宋_GB2312" w:hAnsi="仿宋" w:eastAsia="仿宋_GB2312" w:cs="仿宋"/>
                <w:szCs w:val="21"/>
                <w:shd w:val="clear" w:color="auto" w:fill="FFFFFF"/>
              </w:rPr>
            </w:pPr>
            <w:r>
              <w:rPr>
                <w:rFonts w:hint="eastAsia" w:ascii="仿宋_GB2312" w:hAnsi="仿宋" w:eastAsia="仿宋_GB2312" w:cs="仿宋"/>
                <w:szCs w:val="21"/>
                <w:shd w:val="clear" w:color="auto" w:fill="FFFFFF"/>
              </w:rPr>
              <w:t>1.下发2018年度基本公共卫生服务项目实施方案。积极响应医疗体制改革，规范实施国家基本公共卫生服务项目。</w:t>
            </w:r>
          </w:p>
          <w:p>
            <w:pPr>
              <w:rPr>
                <w:rFonts w:hint="eastAsia" w:ascii="仿宋_GB2312" w:hAnsi="仿宋" w:eastAsia="仿宋_GB2312" w:cs="仿宋"/>
                <w:kern w:val="0"/>
                <w:szCs w:val="21"/>
              </w:rPr>
            </w:pPr>
            <w:r>
              <w:rPr>
                <w:rFonts w:hint="eastAsia" w:ascii="仿宋_GB2312" w:hAnsi="仿宋" w:eastAsia="仿宋_GB2312" w:cs="仿宋"/>
                <w:szCs w:val="21"/>
                <w:shd w:val="clear" w:color="auto" w:fill="FFFFFF"/>
              </w:rPr>
              <w:t>2.制定2018年基本公共卫生绩效考核办法。定期开展考核，考核结果与公卫经费的拨付直接挂钩，以促进服务的改进和效率的提高。</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市财政局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基层卫生科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574" w:type="dxa"/>
            <w:vMerge w:val="continue"/>
            <w:vAlign w:val="center"/>
          </w:tcPr>
          <w:p>
            <w:pPr>
              <w:widowControl/>
              <w:spacing w:line="440" w:lineRule="exact"/>
              <w:ind w:left="-30" w:right="-30"/>
              <w:jc w:val="left"/>
              <w:rPr>
                <w:rFonts w:hint="eastAsia" w:ascii="仿宋_GB2312" w:hAnsi="仿宋" w:eastAsia="仿宋_GB2312" w:cs="仿宋"/>
                <w:kern w:val="0"/>
                <w:szCs w:val="21"/>
              </w:rPr>
            </w:pPr>
          </w:p>
        </w:tc>
        <w:tc>
          <w:tcPr>
            <w:tcW w:w="1526" w:type="dxa"/>
            <w:vMerge w:val="continue"/>
            <w:vAlign w:val="center"/>
          </w:tcPr>
          <w:p>
            <w:pPr>
              <w:widowControl/>
              <w:rPr>
                <w:rFonts w:hint="eastAsia" w:ascii="仿宋_GB2312" w:hAnsi="仿宋" w:eastAsia="仿宋_GB2312" w:cs="仿宋"/>
                <w:kern w:val="0"/>
                <w:szCs w:val="21"/>
              </w:rPr>
            </w:pP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提升突发公共事件卫生应急处置能力。</w:t>
            </w:r>
          </w:p>
        </w:tc>
        <w:tc>
          <w:tcPr>
            <w:tcW w:w="3795" w:type="dxa"/>
            <w:gridSpan w:val="2"/>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加强应急培训和演练。</w:t>
            </w:r>
          </w:p>
        </w:tc>
        <w:tc>
          <w:tcPr>
            <w:tcW w:w="1905" w:type="dxa"/>
            <w:vAlign w:val="center"/>
          </w:tcPr>
          <w:p>
            <w:pPr>
              <w:widowControl/>
              <w:spacing w:line="440" w:lineRule="exact"/>
              <w:ind w:left="-30" w:right="-30"/>
              <w:jc w:val="left"/>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8" w:hRule="atLeast"/>
        </w:trPr>
        <w:tc>
          <w:tcPr>
            <w:tcW w:w="574"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34</w:t>
            </w:r>
          </w:p>
        </w:tc>
        <w:tc>
          <w:tcPr>
            <w:tcW w:w="152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建立健全医改强有力的领导体制和三医联动工作机制。</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将深化医改工作纳入全面深化改革重要内容。明确有关部门责任，以药品供应保障、支付方式改革、部门保障责任、大病保险等落实情况和公立医院综合改革运行情况为重点开展督查。做好对“十三五”医改规划中期评估和公立医院综合改革第三方评估的组织协调、自查评估、上报等工作。</w:t>
            </w:r>
          </w:p>
        </w:tc>
        <w:tc>
          <w:tcPr>
            <w:tcW w:w="3795" w:type="dxa"/>
            <w:gridSpan w:val="2"/>
            <w:vAlign w:val="center"/>
          </w:tcPr>
          <w:p>
            <w:pPr>
              <w:widowControl/>
              <w:tabs>
                <w:tab w:val="left" w:pos="612"/>
              </w:tabs>
              <w:rPr>
                <w:rFonts w:hint="eastAsia" w:ascii="仿宋_GB2312" w:hAnsi="仿宋" w:eastAsia="仿宋_GB2312" w:cs="仿宋"/>
                <w:kern w:val="0"/>
                <w:szCs w:val="21"/>
              </w:rPr>
            </w:pPr>
            <w:r>
              <w:rPr>
                <w:rFonts w:hint="eastAsia" w:ascii="仿宋_GB2312" w:hAnsi="仿宋" w:eastAsia="仿宋_GB2312" w:cs="仿宋"/>
                <w:kern w:val="0"/>
                <w:szCs w:val="21"/>
              </w:rPr>
              <w:t>1.协调各相关部门定期对改革重要内容进展情况进行督导检查。</w:t>
            </w:r>
          </w:p>
          <w:p>
            <w:pPr>
              <w:widowControl/>
              <w:tabs>
                <w:tab w:val="left" w:pos="612"/>
              </w:tabs>
              <w:rPr>
                <w:rFonts w:hint="eastAsia" w:ascii="仿宋_GB2312" w:hAnsi="仿宋" w:eastAsia="仿宋_GB2312" w:cs="仿宋"/>
                <w:kern w:val="0"/>
                <w:szCs w:val="21"/>
              </w:rPr>
            </w:pPr>
            <w:r>
              <w:rPr>
                <w:rFonts w:hint="eastAsia" w:ascii="仿宋_GB2312" w:hAnsi="仿宋" w:eastAsia="仿宋_GB2312" w:cs="仿宋"/>
                <w:kern w:val="0"/>
                <w:szCs w:val="21"/>
              </w:rPr>
              <w:t>2.按照省里要求，做好各项评估的材料准备、上报等工作。</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市发改局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市人社局</w:t>
            </w:r>
            <w:r>
              <w:rPr>
                <w:rFonts w:hint="eastAsia" w:ascii="仿宋_GB2312" w:hAnsi="仿宋" w:eastAsia="仿宋_GB2312" w:cs="仿宋"/>
                <w:kern w:val="0"/>
                <w:szCs w:val="21"/>
              </w:rPr>
              <w:br w:type="textWrapping"/>
            </w:r>
            <w:r>
              <w:rPr>
                <w:rFonts w:hint="eastAsia" w:ascii="仿宋_GB2312" w:hAnsi="仿宋" w:eastAsia="仿宋_GB2312" w:cs="仿宋"/>
                <w:kern w:val="0"/>
                <w:szCs w:val="21"/>
              </w:rPr>
              <w:t>市市场监督管理局</w:t>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医政医管医改科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6" w:hRule="atLeast"/>
        </w:trPr>
        <w:tc>
          <w:tcPr>
            <w:tcW w:w="574"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35</w:t>
            </w:r>
          </w:p>
        </w:tc>
        <w:tc>
          <w:tcPr>
            <w:tcW w:w="152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加强医改宣传引导。</w:t>
            </w:r>
          </w:p>
        </w:tc>
        <w:tc>
          <w:tcPr>
            <w:tcW w:w="5046" w:type="dxa"/>
            <w:vAlign w:val="center"/>
          </w:tcPr>
          <w:p>
            <w:pPr>
              <w:widowControl/>
              <w:rPr>
                <w:rFonts w:hint="eastAsia" w:ascii="仿宋_GB2312" w:hAnsi="仿宋" w:eastAsia="仿宋_GB2312" w:cs="仿宋"/>
                <w:kern w:val="0"/>
                <w:szCs w:val="21"/>
              </w:rPr>
            </w:pPr>
            <w:r>
              <w:rPr>
                <w:rFonts w:hint="eastAsia" w:ascii="仿宋_GB2312" w:hAnsi="仿宋" w:eastAsia="仿宋_GB2312" w:cs="仿宋"/>
                <w:kern w:val="0"/>
                <w:szCs w:val="21"/>
              </w:rPr>
              <w:t>坚持正确的舆论导向，加强医改正面宣传，强化医改舆情收集、分析、研判和应对，做好重要政策文件解读。</w:t>
            </w:r>
          </w:p>
        </w:tc>
        <w:tc>
          <w:tcPr>
            <w:tcW w:w="3795" w:type="dxa"/>
            <w:gridSpan w:val="2"/>
            <w:vAlign w:val="center"/>
          </w:tcPr>
          <w:p>
            <w:pPr>
              <w:tabs>
                <w:tab w:val="center" w:pos="1459"/>
              </w:tabs>
              <w:rPr>
                <w:rFonts w:hint="eastAsia" w:ascii="仿宋_GB2312" w:hAnsi="仿宋" w:eastAsia="仿宋_GB2312" w:cs="仿宋"/>
                <w:kern w:val="0"/>
                <w:szCs w:val="21"/>
              </w:rPr>
            </w:pPr>
            <w:r>
              <w:rPr>
                <w:rFonts w:hint="eastAsia" w:ascii="仿宋_GB2312" w:hAnsi="仿宋" w:eastAsia="仿宋_GB2312" w:cs="仿宋"/>
                <w:kern w:val="0"/>
                <w:szCs w:val="21"/>
              </w:rPr>
              <w:tab/>
            </w:r>
            <w:r>
              <w:rPr>
                <w:rFonts w:hint="eastAsia" w:ascii="仿宋_GB2312" w:hAnsi="仿宋" w:eastAsia="仿宋_GB2312" w:cs="仿宋"/>
                <w:kern w:val="0"/>
                <w:szCs w:val="21"/>
              </w:rPr>
              <w:t>利用电视、报纸、电台专栏节目，加大医改宣传力度；启用新媒体，拓展宣传平台渠道对我市医改宣传。在局“健康舒兰”公众微信平台和吉林市卫生计生局新浪微博发布我市医改相关政策和重大活动信息；利用卫生计生重大纪念日，组织宣传医改政策咨询、发放资料等形式开展丰富多彩的宣传活动</w:t>
            </w:r>
          </w:p>
        </w:tc>
        <w:tc>
          <w:tcPr>
            <w:tcW w:w="1905" w:type="dxa"/>
            <w:vAlign w:val="center"/>
          </w:tcPr>
          <w:p>
            <w:pPr>
              <w:widowControl/>
              <w:spacing w:line="440" w:lineRule="exact"/>
              <w:ind w:left="-30" w:right="-30"/>
              <w:jc w:val="center"/>
              <w:rPr>
                <w:rFonts w:hint="eastAsia" w:ascii="仿宋_GB2312" w:hAnsi="仿宋" w:eastAsia="仿宋_GB2312" w:cs="仿宋"/>
                <w:b/>
                <w:bCs/>
                <w:kern w:val="0"/>
                <w:szCs w:val="21"/>
              </w:rPr>
            </w:pPr>
            <w:r>
              <w:rPr>
                <w:rFonts w:hint="eastAsia" w:ascii="仿宋_GB2312" w:hAnsi="仿宋" w:eastAsia="仿宋_GB2312" w:cs="仿宋"/>
                <w:b/>
                <w:bCs/>
                <w:kern w:val="0"/>
                <w:szCs w:val="21"/>
              </w:rPr>
              <w:t>★市卫生计生局</w:t>
            </w:r>
            <w:r>
              <w:rPr>
                <w:rFonts w:hint="eastAsia" w:ascii="仿宋_GB2312" w:hAnsi="仿宋" w:eastAsia="仿宋_GB2312" w:cs="仿宋"/>
                <w:b/>
                <w:bCs/>
                <w:kern w:val="0"/>
                <w:szCs w:val="21"/>
              </w:rPr>
              <w:br w:type="textWrapping"/>
            </w:r>
            <w:r>
              <w:rPr>
                <w:rFonts w:hint="eastAsia" w:ascii="仿宋_GB2312" w:hAnsi="仿宋" w:eastAsia="仿宋_GB2312" w:cs="仿宋"/>
                <w:kern w:val="0"/>
                <w:szCs w:val="21"/>
              </w:rPr>
              <w:t>市宣传部</w:t>
            </w:r>
            <w:r>
              <w:rPr>
                <w:rFonts w:hint="eastAsia" w:ascii="仿宋_GB2312" w:hAnsi="仿宋" w:eastAsia="仿宋_GB2312" w:cs="仿宋"/>
                <w:kern w:val="0"/>
                <w:szCs w:val="21"/>
              </w:rPr>
              <w:br w:type="textWrapping"/>
            </w:r>
          </w:p>
        </w:tc>
        <w:tc>
          <w:tcPr>
            <w:tcW w:w="1725" w:type="dxa"/>
            <w:vAlign w:val="center"/>
          </w:tcPr>
          <w:p>
            <w:pPr>
              <w:widowControl/>
              <w:spacing w:line="440" w:lineRule="exact"/>
              <w:ind w:left="-30" w:right="-30"/>
              <w:jc w:val="center"/>
              <w:rPr>
                <w:rFonts w:hint="eastAsia" w:ascii="仿宋_GB2312" w:hAnsi="仿宋" w:eastAsia="仿宋_GB2312" w:cs="仿宋"/>
                <w:kern w:val="0"/>
                <w:szCs w:val="21"/>
              </w:rPr>
            </w:pPr>
            <w:r>
              <w:rPr>
                <w:rFonts w:hint="eastAsia" w:ascii="仿宋_GB2312" w:hAnsi="仿宋" w:eastAsia="仿宋_GB2312" w:cs="仿宋"/>
                <w:kern w:val="0"/>
                <w:szCs w:val="21"/>
              </w:rPr>
              <w:t>宣传科</w:t>
            </w:r>
          </w:p>
        </w:tc>
      </w:tr>
    </w:tbl>
    <w:p>
      <w:pPr>
        <w:spacing w:line="500" w:lineRule="exact"/>
        <w:ind w:firstLine="420" w:firstLineChars="200"/>
        <w:rPr>
          <w:rFonts w:hint="eastAsia" w:ascii="仿宋_GB2312" w:hAnsi="仿宋_GB2312" w:eastAsia="仿宋_GB2312" w:cs="仿宋_GB2312"/>
          <w:spacing w:val="-20"/>
          <w:szCs w:val="21"/>
        </w:rPr>
      </w:pPr>
      <w:r>
        <w:rPr>
          <w:rFonts w:hint="eastAsia" w:ascii="仿宋_GB2312" w:hAnsi="仿宋_GB2312" w:eastAsia="仿宋_GB2312" w:cs="仿宋_GB2312"/>
          <w:szCs w:val="21"/>
        </w:rPr>
        <w:t>注：1.</w:t>
      </w:r>
      <w:r>
        <w:rPr>
          <w:rFonts w:hint="eastAsia" w:ascii="仿宋_GB2312" w:hAnsi="仿宋_GB2312" w:eastAsia="仿宋_GB2312" w:cs="仿宋_GB2312"/>
          <w:spacing w:val="-20"/>
          <w:szCs w:val="21"/>
        </w:rPr>
        <w:t>牵头部门以★标出，主要负责该项任务的综合调度、信息报送和督导落实等工作</w:t>
      </w:r>
    </w:p>
    <w:p>
      <w:pPr>
        <w:spacing w:line="500" w:lineRule="exact"/>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rPr>
        <w:t>2.请各牵头部门根据《舒兰市人民政府办公室关于印发舒兰市深化医药卫生体制改革2018年重点工作任务的通知》（舒政办发</w:t>
      </w:r>
    </w:p>
    <w:p>
      <w:pPr>
        <w:spacing w:line="500" w:lineRule="exact"/>
        <w:ind w:firstLine="945" w:firstLineChars="450"/>
      </w:pPr>
      <w:r>
        <w:rPr>
          <w:rFonts w:hint="eastAsia" w:ascii="仿宋_GB2312" w:hAnsi="仿宋" w:eastAsia="仿宋_GB2312" w:cs="仿宋"/>
          <w:szCs w:val="21"/>
        </w:rPr>
        <w:t>〔2018〕72号</w:t>
      </w:r>
      <w:r>
        <w:rPr>
          <w:rFonts w:hint="eastAsia" w:ascii="仿宋_GB2312" w:hAnsi="仿宋_GB2312" w:eastAsia="仿宋_GB2312" w:cs="仿宋_GB2312"/>
          <w:szCs w:val="21"/>
        </w:rPr>
        <w:t>）中的重点任务修改部门牵头的具体工作内容，并填写工作措施</w:t>
      </w:r>
      <w:bookmarkStart w:id="0" w:name="_GoBack"/>
      <w:bookmarkEnd w:id="0"/>
    </w:p>
    <w:sectPr>
      <w:pgSz w:w="16838" w:h="11906" w:orient="landscape"/>
      <w:pgMar w:top="1588" w:right="2098" w:bottom="1474" w:left="1985"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小标宋">
    <w:altName w:val="方正小标宋简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2F24C"/>
    <w:multiLevelType w:val="singleLevel"/>
    <w:tmpl w:val="5B32F24C"/>
    <w:lvl w:ilvl="0" w:tentative="0">
      <w:start w:val="1"/>
      <w:numFmt w:val="decimal"/>
      <w:suff w:val="nothing"/>
      <w:lvlText w:val="%1."/>
      <w:lvlJc w:val="left"/>
    </w:lvl>
  </w:abstractNum>
  <w:abstractNum w:abstractNumId="1">
    <w:nsid w:val="5B34530B"/>
    <w:multiLevelType w:val="singleLevel"/>
    <w:tmpl w:val="5B34530B"/>
    <w:lvl w:ilvl="0" w:tentative="0">
      <w:start w:val="1"/>
      <w:numFmt w:val="decimal"/>
      <w:suff w:val="nothing"/>
      <w:lvlText w:val="%1."/>
      <w:lvlJc w:val="left"/>
    </w:lvl>
  </w:abstractNum>
  <w:abstractNum w:abstractNumId="2">
    <w:nsid w:val="5B35A1A5"/>
    <w:multiLevelType w:val="singleLevel"/>
    <w:tmpl w:val="5B35A1A5"/>
    <w:lvl w:ilvl="0" w:tentative="0">
      <w:start w:val="1"/>
      <w:numFmt w:val="decimal"/>
      <w:suff w:val="nothing"/>
      <w:lvlText w:val="%1."/>
      <w:lvlJc w:val="left"/>
    </w:lvl>
  </w:abstractNum>
  <w:abstractNum w:abstractNumId="3">
    <w:nsid w:val="5B3988B8"/>
    <w:multiLevelType w:val="singleLevel"/>
    <w:tmpl w:val="5B3988B8"/>
    <w:lvl w:ilvl="0" w:tentative="0">
      <w:start w:val="1"/>
      <w:numFmt w:val="decimal"/>
      <w:suff w:val="nothing"/>
      <w:lvlText w:val="%1."/>
      <w:lvlJc w:val="left"/>
    </w:lvl>
  </w:abstractNum>
  <w:abstractNum w:abstractNumId="4">
    <w:nsid w:val="5B39899C"/>
    <w:multiLevelType w:val="singleLevel"/>
    <w:tmpl w:val="5B39899C"/>
    <w:lvl w:ilvl="0" w:tentative="0">
      <w:start w:val="1"/>
      <w:numFmt w:val="decimal"/>
      <w:suff w:val="nothing"/>
      <w:lvlText w:val="%1."/>
      <w:lvlJc w:val="left"/>
    </w:lvl>
  </w:abstractNum>
  <w:abstractNum w:abstractNumId="5">
    <w:nsid w:val="5B398AE9"/>
    <w:multiLevelType w:val="singleLevel"/>
    <w:tmpl w:val="5B398AE9"/>
    <w:lvl w:ilvl="0" w:tentative="0">
      <w:start w:val="1"/>
      <w:numFmt w:val="decimal"/>
      <w:suff w:val="nothing"/>
      <w:lvlText w:val="%1."/>
      <w:lvlJc w:val="left"/>
    </w:lvl>
  </w:abstractNum>
  <w:abstractNum w:abstractNumId="6">
    <w:nsid w:val="5B398DF7"/>
    <w:multiLevelType w:val="singleLevel"/>
    <w:tmpl w:val="5B398DF7"/>
    <w:lvl w:ilvl="0" w:tentative="0">
      <w:start w:val="1"/>
      <w:numFmt w:val="decimal"/>
      <w:suff w:val="nothing"/>
      <w:lvlText w:val="%1."/>
      <w:lvlJc w:val="left"/>
    </w:lvl>
  </w:abstractNum>
  <w:abstractNum w:abstractNumId="7">
    <w:nsid w:val="5B398ED4"/>
    <w:multiLevelType w:val="singleLevel"/>
    <w:tmpl w:val="5B398ED4"/>
    <w:lvl w:ilvl="0" w:tentative="0">
      <w:start w:val="2"/>
      <w:numFmt w:val="decimal"/>
      <w:suff w:val="nothing"/>
      <w:lvlText w:val="%1."/>
      <w:lvlJc w:val="left"/>
    </w:lvl>
  </w:abstractNum>
  <w:abstractNum w:abstractNumId="8">
    <w:nsid w:val="5B3B1871"/>
    <w:multiLevelType w:val="singleLevel"/>
    <w:tmpl w:val="5B3B1871"/>
    <w:lvl w:ilvl="0" w:tentative="0">
      <w:start w:val="1"/>
      <w:numFmt w:val="decimal"/>
      <w:suff w:val="nothing"/>
      <w:lvlText w:val="%1."/>
      <w:lvlJc w:val="left"/>
    </w:lvl>
  </w:abstractNum>
  <w:abstractNum w:abstractNumId="9">
    <w:nsid w:val="5B3C2771"/>
    <w:multiLevelType w:val="singleLevel"/>
    <w:tmpl w:val="5B3C2771"/>
    <w:lvl w:ilvl="0" w:tentative="0">
      <w:start w:val="1"/>
      <w:numFmt w:val="decimal"/>
      <w:suff w:val="nothing"/>
      <w:lvlText w:val="%1."/>
      <w:lvlJc w:val="left"/>
    </w:lvl>
  </w:abstractNum>
  <w:num w:numId="1">
    <w:abstractNumId w:val="3"/>
  </w:num>
  <w:num w:numId="2">
    <w:abstractNumId w:val="4"/>
  </w:num>
  <w:num w:numId="3">
    <w:abstractNumId w:val="8"/>
  </w:num>
  <w:num w:numId="4">
    <w:abstractNumId w:val="5"/>
  </w:num>
  <w:num w:numId="5">
    <w:abstractNumId w:val="9"/>
  </w:num>
  <w:num w:numId="6">
    <w:abstractNumId w:val="1"/>
  </w:num>
  <w:num w:numId="7">
    <w:abstractNumId w:val="2"/>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946AE"/>
    <w:rsid w:val="36E946AE"/>
    <w:rsid w:val="416D57B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240" w:lineRule="atLeast"/>
    </w:pPr>
    <w:rPr>
      <w:rFonts w:ascii="宋体" w:hAnsi="宋体" w:eastAsia="小标宋"/>
      <w:sz w:val="44"/>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0"/>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2018-11-01T09:14:00Z</dcterms:created>
  <dc:creator>康秀外</dc:creator>
  <cp:lastModifiedBy>康秀外</cp:lastModifiedBy>
  <dcterms:modified xsi:type="dcterms:W3CDTF">2018-11-01T09:15:28Z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