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EA04E">
      <w:pPr>
        <w:keepNext w:val="0"/>
        <w:keepLines w:val="0"/>
        <w:widowControl/>
        <w:suppressLineNumbers w:val="0"/>
        <w:spacing w:before="0" w:beforeAutospacing="0" w:after="0" w:afterAutospacing="0" w:line="560" w:lineRule="atLeast"/>
        <w:ind w:left="0" w:right="0" w:firstLine="0"/>
        <w:jc w:val="center"/>
        <w:rPr>
          <w:rFonts w:hint="eastAsia" w:ascii="宋体" w:hAnsi="宋体" w:eastAsia="宋体" w:cs="宋体"/>
          <w:i w:val="0"/>
          <w:iCs w:val="0"/>
          <w:caps w:val="0"/>
          <w:color w:val="000000"/>
          <w:spacing w:val="0"/>
          <w:sz w:val="19"/>
          <w:szCs w:val="19"/>
        </w:rPr>
      </w:pPr>
      <w:r>
        <w:rPr>
          <w:rFonts w:hint="eastAsia" w:ascii="宋体" w:hAnsi="宋体" w:eastAsia="宋体" w:cs="宋体"/>
          <w:b/>
          <w:bCs/>
          <w:i w:val="0"/>
          <w:iCs w:val="0"/>
          <w:caps w:val="0"/>
          <w:color w:val="333333"/>
          <w:spacing w:val="0"/>
          <w:kern w:val="0"/>
          <w:sz w:val="36"/>
          <w:szCs w:val="36"/>
          <w:lang w:val="en-US" w:eastAsia="zh-CN" w:bidi="ar"/>
        </w:rPr>
        <w:t>舒兰市莲花乡人民政府</w:t>
      </w:r>
    </w:p>
    <w:p w14:paraId="4B0C5DC0">
      <w:pPr>
        <w:keepNext w:val="0"/>
        <w:keepLines w:val="0"/>
        <w:widowControl/>
        <w:suppressLineNumbers w:val="0"/>
        <w:spacing w:before="0" w:beforeAutospacing="0" w:after="0" w:afterAutospacing="0" w:line="560" w:lineRule="atLeast"/>
        <w:ind w:left="0" w:right="0" w:firstLine="0"/>
        <w:jc w:val="center"/>
        <w:rPr>
          <w:rFonts w:hint="eastAsia" w:ascii="宋体" w:hAnsi="宋体" w:eastAsia="宋体" w:cs="宋体"/>
          <w:i w:val="0"/>
          <w:iCs w:val="0"/>
          <w:caps w:val="0"/>
          <w:color w:val="000000"/>
          <w:spacing w:val="0"/>
          <w:sz w:val="19"/>
          <w:szCs w:val="19"/>
        </w:rPr>
      </w:pPr>
      <w:r>
        <w:rPr>
          <w:rFonts w:hint="eastAsia" w:ascii="宋体" w:hAnsi="宋体" w:eastAsia="宋体" w:cs="宋体"/>
          <w:b/>
          <w:bCs/>
          <w:i w:val="0"/>
          <w:iCs w:val="0"/>
          <w:caps w:val="0"/>
          <w:color w:val="333333"/>
          <w:spacing w:val="0"/>
          <w:kern w:val="0"/>
          <w:sz w:val="36"/>
          <w:szCs w:val="36"/>
          <w:lang w:val="en-US" w:eastAsia="zh-CN" w:bidi="ar"/>
        </w:rPr>
        <w:t>2024年政府信息公开工作年度报告</w:t>
      </w:r>
    </w:p>
    <w:p w14:paraId="3F6F5338">
      <w:pPr>
        <w:keepNext w:val="0"/>
        <w:keepLines w:val="0"/>
        <w:widowControl/>
        <w:suppressLineNumbers w:val="0"/>
        <w:spacing w:before="0" w:beforeAutospacing="0" w:after="0" w:afterAutospacing="0" w:line="560" w:lineRule="atLeast"/>
        <w:ind w:left="0" w:right="0" w:firstLine="0"/>
        <w:jc w:val="left"/>
        <w:rPr>
          <w:rFonts w:hint="eastAsia" w:ascii="宋体" w:hAnsi="宋体" w:eastAsia="宋体" w:cs="宋体"/>
          <w:i w:val="0"/>
          <w:iCs w:val="0"/>
          <w:caps w:val="0"/>
          <w:color w:val="000000"/>
          <w:spacing w:val="0"/>
          <w:sz w:val="19"/>
          <w:szCs w:val="19"/>
        </w:rPr>
      </w:pPr>
    </w:p>
    <w:p w14:paraId="26EA8A3A">
      <w:pPr>
        <w:keepNext w:val="0"/>
        <w:keepLines w:val="0"/>
        <w:widowControl/>
        <w:suppressLineNumbers w:val="0"/>
        <w:spacing w:before="0" w:beforeAutospacing="0" w:after="0" w:afterAutospacing="0" w:line="560" w:lineRule="atLeast"/>
        <w:ind w:left="0" w:right="0" w:firstLine="48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24"/>
          <w:szCs w:val="24"/>
          <w:lang w:val="en-US" w:eastAsia="zh-CN" w:bidi="ar"/>
        </w:rPr>
        <w:t>根据《中华人民共和国政府信息公开条例》（以下简称《条例》）的规定，</w:t>
      </w:r>
      <w:r>
        <w:rPr>
          <w:rFonts w:hint="eastAsia" w:ascii="宋体" w:hAnsi="宋体" w:eastAsia="宋体" w:cs="宋体"/>
          <w:i w:val="0"/>
          <w:iCs w:val="0"/>
          <w:caps w:val="0"/>
          <w:color w:val="000000"/>
          <w:spacing w:val="0"/>
          <w:sz w:val="24"/>
          <w:szCs w:val="24"/>
          <w:shd w:val="clear" w:fill="FFFFFF"/>
        </w:rPr>
        <w:t>现公布</w:t>
      </w:r>
      <w:r>
        <w:rPr>
          <w:rFonts w:hint="eastAsia" w:ascii="宋体" w:hAnsi="宋体" w:eastAsia="宋体" w:cs="宋体"/>
          <w:i w:val="0"/>
          <w:iCs w:val="0"/>
          <w:caps w:val="0"/>
          <w:color w:val="000000"/>
          <w:spacing w:val="0"/>
          <w:kern w:val="0"/>
          <w:sz w:val="24"/>
          <w:szCs w:val="24"/>
          <w:lang w:val="en-US" w:eastAsia="zh-CN" w:bidi="ar"/>
        </w:rPr>
        <w:t>我乡编制了舒兰市莲花乡2024年政府信息公开工作年度报告</w:t>
      </w:r>
      <w:r>
        <w:rPr>
          <w:rFonts w:hint="eastAsia" w:cs="仿宋_GB2312" w:asciiTheme="minorEastAsia" w:hAnsiTheme="minorEastAsia" w:eastAsiaTheme="minorEastAsia"/>
          <w:bCs/>
          <w:color w:val="333333"/>
          <w:sz w:val="24"/>
          <w:shd w:val="clear" w:color="auto" w:fill="FFFFFF"/>
        </w:rPr>
        <w:t>（以下简称《年报》）</w:t>
      </w:r>
      <w:r>
        <w:rPr>
          <w:rFonts w:hint="eastAsia" w:ascii="宋体" w:hAnsi="宋体" w:eastAsia="宋体" w:cs="宋体"/>
          <w:i w:val="0"/>
          <w:iCs w:val="0"/>
          <w:caps w:val="0"/>
          <w:color w:val="000000"/>
          <w:spacing w:val="0"/>
          <w:kern w:val="0"/>
          <w:sz w:val="24"/>
          <w:szCs w:val="24"/>
          <w:lang w:val="en-US" w:eastAsia="zh-CN" w:bidi="ar"/>
        </w:rPr>
        <w:t>。本报告由总体情况、主动公开政府信息情况、收到和处理政府信息公开申请情况、政府信息公开行政复议、行政诉讼情况、存在的主要问题及改进情况、其他需要报告的事项六个部分组成。报告中所列数据的统计时限自2024年1月1日起至2024年12月31日止。报告在舒兰市人民政府门户网站政府信息公开专栏舒兰市莲花乡人民政府全文公开。如对报告有任何疑问，请联系舒兰市莲花乡人民政府办公室综合科，地址：吉林省舒兰市莲花乡街内，邮编：132623，电话：0432-68935008。</w:t>
      </w:r>
    </w:p>
    <w:p w14:paraId="678FE484">
      <w:pPr>
        <w:keepNext w:val="0"/>
        <w:keepLines w:val="0"/>
        <w:widowControl/>
        <w:suppressLineNumbers w:val="0"/>
        <w:spacing w:before="0" w:beforeAutospacing="0" w:after="0" w:afterAutospacing="0" w:line="560" w:lineRule="atLeast"/>
        <w:ind w:left="0" w:right="0" w:firstLine="480"/>
        <w:jc w:val="left"/>
        <w:rPr>
          <w:rFonts w:hint="eastAsia" w:ascii="宋体" w:hAnsi="宋体" w:eastAsia="宋体" w:cs="宋体"/>
          <w:i w:val="0"/>
          <w:iCs w:val="0"/>
          <w:caps w:val="0"/>
          <w:color w:val="000000"/>
          <w:spacing w:val="0"/>
          <w:sz w:val="19"/>
          <w:szCs w:val="19"/>
        </w:rPr>
      </w:pPr>
      <w:r>
        <w:rPr>
          <w:rFonts w:hint="eastAsia" w:ascii="宋体" w:hAnsi="宋体" w:eastAsia="宋体" w:cs="宋体"/>
          <w:b/>
          <w:bCs/>
          <w:i w:val="0"/>
          <w:iCs w:val="0"/>
          <w:caps w:val="0"/>
          <w:color w:val="333333"/>
          <w:spacing w:val="0"/>
          <w:kern w:val="0"/>
          <w:sz w:val="24"/>
          <w:szCs w:val="24"/>
          <w:lang w:val="en-US" w:eastAsia="zh-CN" w:bidi="ar"/>
        </w:rPr>
        <w:t>一、总体情况</w:t>
      </w:r>
    </w:p>
    <w:p w14:paraId="0996D4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24"/>
          <w:szCs w:val="24"/>
        </w:rPr>
        <w:t>202</w:t>
      </w:r>
      <w:r>
        <w:rPr>
          <w:rFonts w:hint="eastAsia" w:ascii="宋体" w:hAnsi="宋体" w:eastAsia="宋体" w:cs="宋体"/>
          <w:i w:val="0"/>
          <w:iCs w:val="0"/>
          <w:caps w:val="0"/>
          <w:color w:val="000000"/>
          <w:spacing w:val="0"/>
          <w:sz w:val="24"/>
          <w:szCs w:val="24"/>
          <w:lang w:val="en-US" w:eastAsia="zh-CN"/>
        </w:rPr>
        <w:t>4</w:t>
      </w:r>
      <w:r>
        <w:rPr>
          <w:rFonts w:hint="eastAsia" w:ascii="宋体" w:hAnsi="宋体" w:eastAsia="宋体" w:cs="宋体"/>
          <w:i w:val="0"/>
          <w:iCs w:val="0"/>
          <w:caps w:val="0"/>
          <w:color w:val="000000"/>
          <w:spacing w:val="0"/>
          <w:sz w:val="24"/>
          <w:szCs w:val="24"/>
        </w:rPr>
        <w:t>年，莲花乡政务公开工作以习近平新时代中国特色社会主义思想为指导，全面贯彻党的</w:t>
      </w:r>
      <w:r>
        <w:rPr>
          <w:rFonts w:hint="eastAsia" w:ascii="宋体" w:hAnsi="宋体" w:eastAsia="宋体" w:cs="宋体"/>
          <w:i w:val="0"/>
          <w:iCs w:val="0"/>
          <w:caps w:val="0"/>
          <w:color w:val="auto"/>
          <w:spacing w:val="0"/>
          <w:sz w:val="24"/>
          <w:szCs w:val="24"/>
        </w:rPr>
        <w:t>二十大和</w:t>
      </w:r>
      <w:r>
        <w:rPr>
          <w:rFonts w:hint="eastAsia" w:ascii="宋体" w:hAnsi="宋体" w:eastAsia="宋体" w:cs="宋体"/>
          <w:i w:val="0"/>
          <w:iCs w:val="0"/>
          <w:caps w:val="0"/>
          <w:color w:val="auto"/>
          <w:spacing w:val="0"/>
          <w:sz w:val="24"/>
          <w:szCs w:val="24"/>
          <w:lang w:val="en-US" w:eastAsia="zh-CN"/>
        </w:rPr>
        <w:t>二十</w:t>
      </w:r>
      <w:r>
        <w:rPr>
          <w:rFonts w:hint="eastAsia" w:ascii="宋体" w:hAnsi="宋体" w:eastAsia="宋体" w:cs="宋体"/>
          <w:i w:val="0"/>
          <w:iCs w:val="0"/>
          <w:caps w:val="0"/>
          <w:color w:val="auto"/>
          <w:spacing w:val="0"/>
          <w:sz w:val="24"/>
          <w:szCs w:val="24"/>
        </w:rPr>
        <w:t>届</w:t>
      </w:r>
      <w:r>
        <w:rPr>
          <w:rFonts w:hint="eastAsia" w:ascii="宋体" w:hAnsi="宋体" w:eastAsia="宋体" w:cs="宋体"/>
          <w:i w:val="0"/>
          <w:iCs w:val="0"/>
          <w:caps w:val="0"/>
          <w:color w:val="auto"/>
          <w:spacing w:val="0"/>
          <w:sz w:val="24"/>
          <w:szCs w:val="24"/>
          <w:lang w:eastAsia="zh-CN"/>
        </w:rPr>
        <w:t>三</w:t>
      </w:r>
      <w:r>
        <w:rPr>
          <w:rFonts w:hint="eastAsia" w:ascii="宋体" w:hAnsi="宋体" w:eastAsia="宋体" w:cs="宋体"/>
          <w:i w:val="0"/>
          <w:iCs w:val="0"/>
          <w:caps w:val="0"/>
          <w:color w:val="auto"/>
          <w:spacing w:val="0"/>
          <w:sz w:val="24"/>
          <w:szCs w:val="24"/>
        </w:rPr>
        <w:t>中全会</w:t>
      </w:r>
      <w:r>
        <w:rPr>
          <w:rFonts w:hint="eastAsia" w:ascii="宋体" w:hAnsi="宋体" w:eastAsia="宋体" w:cs="宋体"/>
          <w:i w:val="0"/>
          <w:iCs w:val="0"/>
          <w:caps w:val="0"/>
          <w:color w:val="000000"/>
          <w:spacing w:val="0"/>
          <w:sz w:val="24"/>
          <w:szCs w:val="24"/>
        </w:rPr>
        <w:t>精神，认真落实国务院、省、市关于全面推进政务公开的系列部署，严格依照《条例》完善组织领导，健全制度，规范公开内容，加大政务公开力度、范围，推动政策解读工作，不断增强政府信息公开实效。紧紧围绕乡党委、乡政府中心工作及群众关注关切，落实政务工作各环节公开，以公开为常态、不公开为例外，不断推进政府信息公开，落实信息公开完整性、规范性、时效性、便民性，为全乡经济社会高质量发展营造公开透明的良好环境。</w:t>
      </w:r>
    </w:p>
    <w:p w14:paraId="3B8066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rPr>
          <w:rFonts w:hint="eastAsia" w:ascii="宋体" w:hAnsi="宋体" w:eastAsia="楷体" w:cs="宋体"/>
          <w:i w:val="0"/>
          <w:iCs w:val="0"/>
          <w:caps w:val="0"/>
          <w:color w:val="000000"/>
          <w:spacing w:val="0"/>
          <w:sz w:val="19"/>
          <w:szCs w:val="19"/>
          <w:lang w:val="en-US" w:eastAsia="zh-CN"/>
        </w:rPr>
      </w:pPr>
      <w:r>
        <w:rPr>
          <w:rFonts w:hint="eastAsia" w:ascii="宋体" w:hAnsi="宋体" w:eastAsia="宋体" w:cs="宋体"/>
          <w:i w:val="0"/>
          <w:iCs w:val="0"/>
          <w:caps w:val="0"/>
          <w:color w:val="000000"/>
          <w:spacing w:val="0"/>
          <w:sz w:val="24"/>
          <w:szCs w:val="24"/>
        </w:rPr>
        <w:t>（一）</w:t>
      </w:r>
      <w:r>
        <w:rPr>
          <w:rFonts w:ascii="楷体" w:hAnsi="楷体" w:eastAsia="楷体" w:cs="楷体"/>
          <w:i w:val="0"/>
          <w:iCs w:val="0"/>
          <w:caps w:val="0"/>
          <w:color w:val="000000"/>
          <w:spacing w:val="0"/>
          <w:sz w:val="24"/>
          <w:szCs w:val="24"/>
        </w:rPr>
        <w:t>积极推动政府信息主动公开</w:t>
      </w:r>
      <w:r>
        <w:rPr>
          <w:rFonts w:hint="eastAsia" w:ascii="楷体" w:hAnsi="楷体" w:eastAsia="楷体" w:cs="楷体"/>
          <w:i w:val="0"/>
          <w:iCs w:val="0"/>
          <w:caps w:val="0"/>
          <w:color w:val="000000"/>
          <w:spacing w:val="0"/>
          <w:sz w:val="24"/>
          <w:szCs w:val="24"/>
          <w:lang w:eastAsia="zh-CN"/>
        </w:rPr>
        <w:t>。</w:t>
      </w:r>
    </w:p>
    <w:p w14:paraId="593D35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firstLineChars="20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24"/>
          <w:szCs w:val="24"/>
        </w:rPr>
        <w:t>莲花乡政府高度重视政务公开工作，坚持“公开为常态、不公开为例外”原则，根据机构改革情况，</w:t>
      </w:r>
      <w:r>
        <w:rPr>
          <w:rFonts w:hint="eastAsia" w:ascii="宋体" w:hAnsi="宋体" w:eastAsia="宋体" w:cs="宋体"/>
          <w:i w:val="0"/>
          <w:iCs w:val="0"/>
          <w:caps w:val="0"/>
          <w:color w:val="000000"/>
          <w:spacing w:val="0"/>
          <w:sz w:val="24"/>
          <w:szCs w:val="24"/>
          <w:lang w:eastAsia="zh-CN"/>
        </w:rPr>
        <w:t>加强</w:t>
      </w:r>
      <w:r>
        <w:rPr>
          <w:rFonts w:hint="eastAsia" w:ascii="宋体" w:hAnsi="宋体" w:eastAsia="宋体" w:cs="宋体"/>
          <w:i w:val="0"/>
          <w:iCs w:val="0"/>
          <w:caps w:val="0"/>
          <w:color w:val="000000"/>
          <w:spacing w:val="0"/>
          <w:sz w:val="24"/>
          <w:szCs w:val="24"/>
        </w:rPr>
        <w:t>莲花乡政务公开工作，将责任落实到人，明确政务公开具体工作人员，建立健全了政务公开各项工作制度。把政务公开工作纳入绩效考核。严格贯彻落实新修订的《条例》，将《条例》学习纳入到理论</w:t>
      </w:r>
      <w:r>
        <w:rPr>
          <w:rFonts w:hint="eastAsia" w:ascii="宋体" w:hAnsi="宋体" w:eastAsia="宋体" w:cs="宋体"/>
          <w:i w:val="0"/>
          <w:iCs w:val="0"/>
          <w:caps w:val="0"/>
          <w:color w:val="000000"/>
          <w:spacing w:val="0"/>
          <w:sz w:val="24"/>
          <w:szCs w:val="24"/>
          <w:lang w:val="en-US" w:eastAsia="zh-CN"/>
        </w:rPr>
        <w:t>学习</w:t>
      </w:r>
      <w:r>
        <w:rPr>
          <w:rFonts w:hint="eastAsia" w:ascii="宋体" w:hAnsi="宋体" w:eastAsia="宋体" w:cs="宋体"/>
          <w:i w:val="0"/>
          <w:iCs w:val="0"/>
          <w:caps w:val="0"/>
          <w:color w:val="000000"/>
          <w:spacing w:val="0"/>
          <w:sz w:val="24"/>
          <w:szCs w:val="24"/>
        </w:rPr>
        <w:t>中心组学习中，并开展了形式多样的普法宣传，全面加强政务公开业务知识的培训。</w:t>
      </w:r>
    </w:p>
    <w:p w14:paraId="6BE5011D">
      <w:pPr>
        <w:keepNext w:val="0"/>
        <w:keepLines w:val="0"/>
        <w:widowControl/>
        <w:suppressLineNumbers w:val="0"/>
        <w:spacing w:before="0" w:beforeAutospacing="0" w:after="0" w:afterAutospacing="0" w:line="560" w:lineRule="atLeast"/>
        <w:ind w:left="480" w:right="0" w:firstLine="0"/>
        <w:jc w:val="left"/>
        <w:rPr>
          <w:rFonts w:hint="eastAsia" w:ascii="宋体" w:hAnsi="宋体" w:eastAsia="宋体" w:cs="宋体"/>
          <w:i w:val="0"/>
          <w:iCs w:val="0"/>
          <w:caps w:val="0"/>
          <w:color w:val="000000"/>
          <w:spacing w:val="0"/>
          <w:sz w:val="19"/>
          <w:szCs w:val="19"/>
        </w:rPr>
      </w:pPr>
      <w:r>
        <w:rPr>
          <w:rFonts w:hint="eastAsia" w:ascii="楷体" w:hAnsi="楷体" w:eastAsia="楷体" w:cs="楷体"/>
          <w:i w:val="0"/>
          <w:iCs w:val="0"/>
          <w:caps w:val="0"/>
          <w:color w:val="000000"/>
          <w:spacing w:val="0"/>
          <w:kern w:val="0"/>
          <w:sz w:val="24"/>
          <w:szCs w:val="24"/>
          <w:lang w:val="en-US" w:eastAsia="zh-CN" w:bidi="ar"/>
        </w:rPr>
        <w:t>（二）认真规范处理依申请公开。</w:t>
      </w:r>
    </w:p>
    <w:p w14:paraId="18EEC259">
      <w:pPr>
        <w:keepNext w:val="0"/>
        <w:keepLines w:val="0"/>
        <w:widowControl/>
        <w:suppressLineNumbers w:val="0"/>
        <w:spacing w:before="0" w:beforeAutospacing="0" w:after="0" w:afterAutospacing="0" w:line="560" w:lineRule="atLeast"/>
        <w:ind w:left="0" w:right="0" w:firstLine="48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24"/>
          <w:szCs w:val="24"/>
          <w:lang w:val="en-US" w:eastAsia="zh-CN" w:bidi="ar"/>
        </w:rPr>
        <w:t>完善政府信息公开申请接收、登记、办理、审核、答复、归档等各环节工作制度，明确信息主动公开和依申请公开工作流程，细化相关部门任务分工和具体步骤，实现了政府信息及时主动公开、按时反馈答复。按照专人专管原则，落实专人维护网站，负责政府信息公开发布管理。同时，确定保密审查职责分工、审查程序和责任追究办法，保证了政府信息公开工作的顺畅运行。</w:t>
      </w:r>
    </w:p>
    <w:p w14:paraId="6C9369AB">
      <w:pPr>
        <w:keepNext w:val="0"/>
        <w:keepLines w:val="0"/>
        <w:widowControl/>
        <w:suppressLineNumbers w:val="0"/>
        <w:spacing w:before="0" w:beforeAutospacing="0" w:after="0" w:afterAutospacing="0" w:line="560" w:lineRule="atLeast"/>
        <w:ind w:left="0" w:right="0" w:firstLine="480"/>
        <w:jc w:val="left"/>
        <w:rPr>
          <w:rFonts w:hint="eastAsia" w:ascii="宋体" w:hAnsi="宋体" w:eastAsia="宋体" w:cs="宋体"/>
          <w:i w:val="0"/>
          <w:iCs w:val="0"/>
          <w:caps w:val="0"/>
          <w:color w:val="000000"/>
          <w:spacing w:val="0"/>
          <w:sz w:val="19"/>
          <w:szCs w:val="19"/>
        </w:rPr>
      </w:pPr>
      <w:r>
        <w:rPr>
          <w:rFonts w:hint="eastAsia" w:ascii="楷体" w:hAnsi="楷体" w:eastAsia="楷体" w:cs="楷体"/>
          <w:i w:val="0"/>
          <w:iCs w:val="0"/>
          <w:caps w:val="0"/>
          <w:color w:val="000000"/>
          <w:spacing w:val="0"/>
          <w:kern w:val="0"/>
          <w:sz w:val="24"/>
          <w:szCs w:val="24"/>
          <w:lang w:val="en-US" w:eastAsia="zh-CN" w:bidi="ar"/>
        </w:rPr>
        <w:t>（三）不断强化政府信息公开平台内容保障。</w:t>
      </w:r>
    </w:p>
    <w:p w14:paraId="0BC28C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24"/>
          <w:szCs w:val="24"/>
        </w:rPr>
        <w:t>莲花乡政府严格落实网络意识形态责任制，加强政府网站内容建设和信息发布审核，把好政治关、政策关。一是提升网站建设质量和信息发布质量，使网站栏目设置更合理、分类更准确；结合机构改革职责调整变化，及时梳理编制并公开政府信息公开指南、目录等，使公开信息格式更规范、内容更严谨、要素更充分、可读性更强。二是围绕“放管服”，做好信息公开工作，打造法治化、便利化的营商环境。做好重大建设项目批准和实施、公共资源配置、社会公益事业建设等领域信息公开工作。重点抓好就业、教育、医疗、养老、公共文化等社会高度关注、涉及群众切身利益的民生领域信息公开，明确主动公开政府信息的范围、形式和时限，并对依申请公开政府信息的范围、受理机构和处理程序，第一时间在政府信息公开专栏予以公示，主动接受广大群众的监督和指导。</w:t>
      </w:r>
    </w:p>
    <w:p w14:paraId="62E17E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firstLineChars="20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aps w:val="0"/>
          <w:color w:val="000000"/>
          <w:spacing w:val="0"/>
          <w:sz w:val="24"/>
          <w:szCs w:val="24"/>
          <w:lang w:val="en-US" w:eastAsia="zh-CN"/>
        </w:rPr>
        <w:t>四</w:t>
      </w:r>
      <w:r>
        <w:rPr>
          <w:rFonts w:hint="eastAsia" w:ascii="宋体" w:hAnsi="宋体" w:eastAsia="宋体" w:cs="宋体"/>
          <w:i w:val="0"/>
          <w:iCs w:val="0"/>
          <w:caps w:val="0"/>
          <w:color w:val="000000"/>
          <w:spacing w:val="0"/>
          <w:sz w:val="24"/>
          <w:szCs w:val="24"/>
        </w:rPr>
        <w:t>）</w:t>
      </w:r>
      <w:r>
        <w:rPr>
          <w:rFonts w:hint="eastAsia" w:ascii="楷体" w:hAnsi="楷体" w:eastAsia="楷体" w:cs="楷体"/>
          <w:i w:val="0"/>
          <w:iCs w:val="0"/>
          <w:caps w:val="0"/>
          <w:color w:val="000000"/>
          <w:spacing w:val="0"/>
          <w:sz w:val="24"/>
          <w:szCs w:val="24"/>
        </w:rPr>
        <w:t>全力做好宣传培训评估考核等基础工作。</w:t>
      </w:r>
    </w:p>
    <w:p w14:paraId="4FCE0140">
      <w:pPr>
        <w:keepNext w:val="0"/>
        <w:keepLines w:val="0"/>
        <w:widowControl/>
        <w:suppressLineNumbers w:val="0"/>
        <w:spacing w:before="0" w:beforeAutospacing="0" w:after="0" w:afterAutospacing="0" w:line="560" w:lineRule="atLeast"/>
        <w:ind w:left="0" w:right="0" w:firstLine="48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24"/>
          <w:szCs w:val="24"/>
          <w:lang w:val="en-US" w:eastAsia="zh-CN" w:bidi="ar"/>
        </w:rPr>
        <w:t>莲花乡政府通过实体政务大厅、政府网站，全面准确公开办事服务事项清单、办事指南、办事流程、办事机构、常见问题、监督举报方式和网办进度等信息，实现办事服务一次性告知，信息主动推送，让办事群众对事前准备清晰明了、事中进展实时掌握、事后结果及时获知。围绕《吉林省优化营商环境条例》，建立涉企政策统一公开和辅导机制，通过宣传、解读和接受咨询等多种公开形式，提高市场主体对涉企政策的知晓度。切实解决政策落实“最后一公里”未完全打通、创新服务意识相对较弱等问题，保证企业及时准确了解和查询政策信息。</w:t>
      </w:r>
    </w:p>
    <w:p w14:paraId="1C1352ED">
      <w:pPr>
        <w:keepNext w:val="0"/>
        <w:keepLines w:val="0"/>
        <w:widowControl/>
        <w:suppressLineNumbers w:val="0"/>
        <w:spacing w:before="0" w:beforeAutospacing="0" w:after="0" w:afterAutospacing="0" w:line="560" w:lineRule="atLeast"/>
        <w:ind w:left="0" w:right="0" w:firstLine="482"/>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二、主动公开政府信息情况</w:t>
      </w:r>
    </w:p>
    <w:tbl>
      <w:tblPr>
        <w:tblStyle w:val="3"/>
        <w:tblW w:w="90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61"/>
        <w:gridCol w:w="2184"/>
        <w:gridCol w:w="2184"/>
        <w:gridCol w:w="2185"/>
      </w:tblGrid>
      <w:tr w14:paraId="35DC4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11573B43">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第二十条第（一）项</w:t>
            </w:r>
          </w:p>
        </w:tc>
      </w:tr>
      <w:tr w14:paraId="7E0EB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695BB212">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信息内容</w:t>
            </w:r>
          </w:p>
        </w:tc>
        <w:tc>
          <w:tcPr>
            <w:tcW w:w="2184"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E9DFD4A">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本年制发件数</w:t>
            </w:r>
          </w:p>
        </w:tc>
        <w:tc>
          <w:tcPr>
            <w:tcW w:w="218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B6CA25">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本年废止件数</w:t>
            </w:r>
          </w:p>
        </w:tc>
        <w:tc>
          <w:tcPr>
            <w:tcW w:w="21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4AE1C28C">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现行有效件数</w:t>
            </w:r>
          </w:p>
        </w:tc>
      </w:tr>
      <w:tr w14:paraId="50C50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1D614955">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规章</w:t>
            </w:r>
          </w:p>
        </w:tc>
        <w:tc>
          <w:tcPr>
            <w:tcW w:w="218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66E33DC0">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0</w:t>
            </w:r>
          </w:p>
        </w:tc>
        <w:tc>
          <w:tcPr>
            <w:tcW w:w="21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4ABF24">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0</w:t>
            </w:r>
          </w:p>
        </w:tc>
        <w:tc>
          <w:tcPr>
            <w:tcW w:w="21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438CF57D">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0</w:t>
            </w:r>
          </w:p>
        </w:tc>
      </w:tr>
      <w:tr w14:paraId="515F4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69EFBF4A">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行政规范性文件</w:t>
            </w:r>
          </w:p>
        </w:tc>
        <w:tc>
          <w:tcPr>
            <w:tcW w:w="218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4555B1A">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0</w:t>
            </w:r>
          </w:p>
        </w:tc>
        <w:tc>
          <w:tcPr>
            <w:tcW w:w="21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85FF82">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0</w:t>
            </w:r>
          </w:p>
        </w:tc>
        <w:tc>
          <w:tcPr>
            <w:tcW w:w="21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2323427">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0</w:t>
            </w:r>
          </w:p>
        </w:tc>
      </w:tr>
      <w:tr w14:paraId="27861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223B4CDA">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第二十条第（五）项</w:t>
            </w:r>
          </w:p>
        </w:tc>
      </w:tr>
      <w:tr w14:paraId="20E53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4FDE5006">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信息内容</w:t>
            </w:r>
          </w:p>
        </w:tc>
        <w:tc>
          <w:tcPr>
            <w:tcW w:w="6553" w:type="dxa"/>
            <w:gridSpan w:val="3"/>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CEC665F">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本年处理决定数量</w:t>
            </w:r>
          </w:p>
        </w:tc>
      </w:tr>
      <w:tr w14:paraId="7B345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70C7BB8A">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行政许可</w:t>
            </w:r>
          </w:p>
        </w:tc>
        <w:tc>
          <w:tcPr>
            <w:tcW w:w="6553"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3F0B84A">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0</w:t>
            </w:r>
          </w:p>
        </w:tc>
      </w:tr>
      <w:tr w14:paraId="17A60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6532F15D">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第二十条第（六）项</w:t>
            </w:r>
          </w:p>
        </w:tc>
      </w:tr>
      <w:tr w14:paraId="45DB1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6BC2BAD6">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信息内容</w:t>
            </w:r>
          </w:p>
        </w:tc>
        <w:tc>
          <w:tcPr>
            <w:tcW w:w="6553" w:type="dxa"/>
            <w:gridSpan w:val="3"/>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6BC5C32">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本年处理决定数量</w:t>
            </w:r>
          </w:p>
        </w:tc>
      </w:tr>
      <w:tr w14:paraId="7E748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1291C7C2">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行政处罚</w:t>
            </w:r>
          </w:p>
        </w:tc>
        <w:tc>
          <w:tcPr>
            <w:tcW w:w="6553"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BDB4FDD">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0</w:t>
            </w:r>
          </w:p>
        </w:tc>
      </w:tr>
      <w:tr w14:paraId="3B972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40ECDB00">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行政强制</w:t>
            </w:r>
          </w:p>
        </w:tc>
        <w:tc>
          <w:tcPr>
            <w:tcW w:w="6553"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B7A2D8E">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0</w:t>
            </w:r>
          </w:p>
        </w:tc>
      </w:tr>
      <w:tr w14:paraId="4BC8E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6175A13C">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第二十条第（八）项</w:t>
            </w:r>
          </w:p>
        </w:tc>
      </w:tr>
      <w:tr w14:paraId="4BC36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03821684">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信息内容</w:t>
            </w:r>
          </w:p>
        </w:tc>
        <w:tc>
          <w:tcPr>
            <w:tcW w:w="6553" w:type="dxa"/>
            <w:gridSpan w:val="3"/>
            <w:tcBorders>
              <w:top w:val="nil"/>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14:paraId="0D5BFAAD">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本年收费金额（单位：万元）</w:t>
            </w:r>
          </w:p>
        </w:tc>
      </w:tr>
      <w:tr w14:paraId="08912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4E6AC9E4">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行政事业性收费</w:t>
            </w:r>
          </w:p>
        </w:tc>
        <w:tc>
          <w:tcPr>
            <w:tcW w:w="6553" w:type="dxa"/>
            <w:gridSpan w:val="3"/>
            <w:tcBorders>
              <w:top w:val="nil"/>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14:paraId="3D1F7BCA">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0</w:t>
            </w:r>
          </w:p>
        </w:tc>
      </w:tr>
    </w:tbl>
    <w:p w14:paraId="51268F67">
      <w:pPr>
        <w:keepNext w:val="0"/>
        <w:keepLines w:val="0"/>
        <w:widowControl/>
        <w:suppressLineNumbers w:val="0"/>
        <w:spacing w:before="0" w:beforeAutospacing="0" w:after="0" w:afterAutospacing="0" w:line="560" w:lineRule="atLeast"/>
        <w:ind w:left="0" w:right="0" w:firstLine="482"/>
        <w:jc w:val="left"/>
        <w:rPr>
          <w:rFonts w:hint="eastAsia" w:ascii="宋体" w:hAnsi="宋体" w:eastAsia="宋体" w:cs="宋体"/>
          <w:i w:val="0"/>
          <w:iCs w:val="0"/>
          <w:caps w:val="0"/>
          <w:color w:val="000000"/>
          <w:spacing w:val="0"/>
          <w:sz w:val="19"/>
          <w:szCs w:val="19"/>
        </w:rPr>
      </w:pPr>
      <w:r>
        <w:rPr>
          <w:rFonts w:hint="eastAsia" w:ascii="宋体" w:hAnsi="宋体" w:eastAsia="宋体" w:cs="宋体"/>
          <w:b/>
          <w:bCs/>
          <w:i w:val="0"/>
          <w:iCs w:val="0"/>
          <w:caps w:val="0"/>
          <w:color w:val="000000"/>
          <w:spacing w:val="0"/>
          <w:kern w:val="0"/>
          <w:sz w:val="24"/>
          <w:szCs w:val="24"/>
          <w:lang w:val="en-US" w:eastAsia="zh-CN" w:bidi="ar"/>
        </w:rPr>
        <w:t>三、收到和处理政府信息公开申请情况</w:t>
      </w:r>
    </w:p>
    <w:tbl>
      <w:tblPr>
        <w:tblStyle w:val="3"/>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17"/>
        <w:gridCol w:w="854"/>
        <w:gridCol w:w="2216"/>
        <w:gridCol w:w="683"/>
        <w:gridCol w:w="755"/>
        <w:gridCol w:w="755"/>
        <w:gridCol w:w="925"/>
        <w:gridCol w:w="861"/>
        <w:gridCol w:w="711"/>
        <w:gridCol w:w="694"/>
      </w:tblGrid>
      <w:tr w14:paraId="79A75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4" w:hRule="atLeast"/>
          <w:jc w:val="center"/>
        </w:trPr>
        <w:tc>
          <w:tcPr>
            <w:tcW w:w="3687"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4DE3B2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5384" w:type="dxa"/>
            <w:gridSpan w:val="7"/>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1594EC">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申请人情况</w:t>
            </w:r>
          </w:p>
        </w:tc>
      </w:tr>
      <w:tr w14:paraId="2851A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B27218">
            <w:pPr>
              <w:rPr>
                <w:rFonts w:hint="eastAsia" w:ascii="宋体" w:hAnsi="宋体" w:eastAsia="宋体" w:cs="宋体"/>
                <w:sz w:val="24"/>
                <w:szCs w:val="24"/>
              </w:rPr>
            </w:pPr>
          </w:p>
        </w:tc>
        <w:tc>
          <w:tcPr>
            <w:tcW w:w="68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D32A5D">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自</w:t>
            </w:r>
          </w:p>
          <w:p w14:paraId="5BC8E9A1">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然</w:t>
            </w:r>
          </w:p>
          <w:p w14:paraId="153ED00C">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人</w:t>
            </w:r>
          </w:p>
        </w:tc>
        <w:tc>
          <w:tcPr>
            <w:tcW w:w="4007"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F16734">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法人或其他组织</w:t>
            </w:r>
          </w:p>
        </w:tc>
        <w:tc>
          <w:tcPr>
            <w:tcW w:w="69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99163B">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总计</w:t>
            </w:r>
          </w:p>
        </w:tc>
      </w:tr>
      <w:tr w14:paraId="3AC67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9D4B5B">
            <w:pPr>
              <w:rPr>
                <w:rFonts w:hint="eastAsia" w:ascii="宋体" w:hAnsi="宋体" w:eastAsia="宋体" w:cs="宋体"/>
                <w:sz w:val="24"/>
                <w:szCs w:val="24"/>
              </w:rPr>
            </w:pPr>
          </w:p>
        </w:tc>
        <w:tc>
          <w:tcPr>
            <w:tcW w:w="68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FD813F2">
            <w:pPr>
              <w:rPr>
                <w:rFonts w:hint="eastAsia" w:ascii="宋体" w:hAnsi="宋体" w:eastAsia="宋体" w:cs="宋体"/>
                <w:sz w:val="24"/>
                <w:szCs w:val="24"/>
              </w:rPr>
            </w:pP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5E7735">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商业企业</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46CD1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科研机构</w:t>
            </w:r>
          </w:p>
        </w:tc>
        <w:tc>
          <w:tcPr>
            <w:tcW w:w="92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542152">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社会公益组织</w:t>
            </w:r>
          </w:p>
        </w:tc>
        <w:tc>
          <w:tcPr>
            <w:tcW w:w="86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3EB80A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法律服务机构</w:t>
            </w:r>
          </w:p>
        </w:tc>
        <w:tc>
          <w:tcPr>
            <w:tcW w:w="71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91AAF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其他</w:t>
            </w:r>
          </w:p>
        </w:tc>
        <w:tc>
          <w:tcPr>
            <w:tcW w:w="69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0E554E">
            <w:pPr>
              <w:rPr>
                <w:rFonts w:hint="eastAsia" w:ascii="宋体" w:hAnsi="宋体" w:eastAsia="宋体" w:cs="宋体"/>
                <w:sz w:val="24"/>
                <w:szCs w:val="24"/>
              </w:rPr>
            </w:pPr>
          </w:p>
        </w:tc>
      </w:tr>
      <w:tr w14:paraId="396FB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67D71D9">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一、本年新收政府信息公开申请数量</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975FBB">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49EA14">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66EC53">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0E4853">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6AFA4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8047F8B">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370264">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10BC3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69347F">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二、上年结转政府信息公开申请数量</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E245AF">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C38DDB">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371794">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07913B">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0E2CA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794EC8">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ABAA325">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46851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617"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DC5682F">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 </w:t>
            </w:r>
          </w:p>
          <w:p w14:paraId="40E49C5B">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 </w:t>
            </w:r>
          </w:p>
          <w:p w14:paraId="44C4E57B">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 </w:t>
            </w:r>
          </w:p>
          <w:p w14:paraId="50EAB559">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 </w:t>
            </w:r>
          </w:p>
          <w:p w14:paraId="4AA273EF">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 </w:t>
            </w:r>
          </w:p>
          <w:p w14:paraId="3CA5A708">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 </w:t>
            </w:r>
          </w:p>
          <w:p w14:paraId="2DCEEFB1">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 </w:t>
            </w:r>
          </w:p>
          <w:p w14:paraId="37AA114A">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 </w:t>
            </w:r>
          </w:p>
          <w:p w14:paraId="1B270836">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 </w:t>
            </w:r>
          </w:p>
          <w:p w14:paraId="05AA834D">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 </w:t>
            </w:r>
          </w:p>
          <w:p w14:paraId="3FA03BDF">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 </w:t>
            </w:r>
          </w:p>
          <w:p w14:paraId="0EF60499">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 </w:t>
            </w:r>
          </w:p>
          <w:p w14:paraId="0FBCFC46">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 </w:t>
            </w:r>
          </w:p>
          <w:p w14:paraId="6B6D8573">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 </w:t>
            </w:r>
          </w:p>
          <w:p w14:paraId="1AB2D340">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 </w:t>
            </w:r>
          </w:p>
          <w:p w14:paraId="3530B529">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 </w:t>
            </w:r>
          </w:p>
          <w:p w14:paraId="7A9DA953">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三、</w:t>
            </w:r>
          </w:p>
          <w:p w14:paraId="295924FE">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本年度办理结果</w:t>
            </w:r>
          </w:p>
        </w:tc>
        <w:tc>
          <w:tcPr>
            <w:tcW w:w="307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8C584E">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（一）予以公开</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11B1F1">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C8EB641">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674428">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3AFA6E">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773DFC">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EE3EEF">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D9C75B">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28EA6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EDEE50">
            <w:pPr>
              <w:rPr>
                <w:rFonts w:hint="eastAsia" w:ascii="宋体" w:hAnsi="宋体" w:eastAsia="宋体" w:cs="宋体"/>
                <w:sz w:val="24"/>
                <w:szCs w:val="24"/>
              </w:rPr>
            </w:pPr>
          </w:p>
        </w:tc>
        <w:tc>
          <w:tcPr>
            <w:tcW w:w="307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246C54">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1727EC">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BA0B8C">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8E4444">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10B8DA">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FCF9FF">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E469D0">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4C2FAD">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6CA42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E5AE442">
            <w:pPr>
              <w:rPr>
                <w:rFonts w:hint="eastAsia" w:ascii="宋体" w:hAnsi="宋体" w:eastAsia="宋体" w:cs="宋体"/>
                <w:sz w:val="24"/>
                <w:szCs w:val="24"/>
              </w:rPr>
            </w:pPr>
          </w:p>
        </w:tc>
        <w:tc>
          <w:tcPr>
            <w:tcW w:w="85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1FF367">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（三）不予公开</w:t>
            </w: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61BE23D">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1.属于国家秘密</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86522C">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27D305">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3469DF">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FE81A6">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FBF4C7">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0379E0">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F05E51">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2B175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9A07874">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CC68DF">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E2A569F">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2.其他法律行政法规禁止公开</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D52F64">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331E3B">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AC4816">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B9B562">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6174B7">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A6643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531F27">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0A854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91906F6">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BA1CF9">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389B2C7">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3.危及“三安全一稳定”</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18D442">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49E9ED">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6E10C6">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C895E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CDC48B">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3C9877">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E5790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45D5A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BF2B3FC">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19BC24">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976AC7">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4.保护第三方合法权益</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05D52F">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91CFB4">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7C7613">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529FB6">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004344">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FBD3AF">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A541125">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2C3E8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DC5C0C6">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771746">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0E551A">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5.属于三类内部事务信息</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D63EB0">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91BCA8">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B86E1E">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A5B961">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8ACA52">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188362">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86E32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26D29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43C528">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CEB0CF">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3644B9E">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6.属于四类过程性信息</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E6FE3F">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E01BA6">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2D912E">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87784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A54D3E">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1ABDD8">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C3545D8">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6AE2A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4"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5AF029">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2042937">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E56CD8">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7.属于行政执法案卷</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77E29F">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3A8F4D">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F21C91">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F306A2">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68FAB48">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C58BC1">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871FA2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455A1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9"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87E391">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D1F091">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5DFA9C">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8.属于行政查询事项</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E1748E">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6FC914">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F9D694">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7900C6">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B9E02F">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57F231">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978045">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54351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7B904FF">
            <w:pPr>
              <w:rPr>
                <w:rFonts w:hint="eastAsia" w:ascii="宋体" w:hAnsi="宋体" w:eastAsia="宋体" w:cs="宋体"/>
                <w:sz w:val="24"/>
                <w:szCs w:val="24"/>
              </w:rPr>
            </w:pPr>
          </w:p>
        </w:tc>
        <w:tc>
          <w:tcPr>
            <w:tcW w:w="85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302D10">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（四）无法提供</w:t>
            </w: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28039B">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1.本机关不掌握相关政府信息</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9D0BAC">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34DA47A">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F20422">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C2A4E8">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C0CBC3">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D08F43">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211742">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257AB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EF13B5">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643FCC">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D321E2">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2.没有现成信息需要另行制作</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3B08D7A">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64708C">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77C23D">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66711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CA7837">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8B76FA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71B0D0">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10F06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0826FD">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54253C">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7E785C">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3.补正后申请内容仍不明确</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CE9D62">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DE2F84">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C219C60">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340A8B">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6D2C15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16F0BF">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08E307">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4460C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74106C">
            <w:pPr>
              <w:rPr>
                <w:rFonts w:hint="eastAsia" w:ascii="宋体" w:hAnsi="宋体" w:eastAsia="宋体" w:cs="宋体"/>
                <w:sz w:val="24"/>
                <w:szCs w:val="24"/>
              </w:rPr>
            </w:pPr>
          </w:p>
        </w:tc>
        <w:tc>
          <w:tcPr>
            <w:tcW w:w="85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8A1AF2">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（五）不予处理</w:t>
            </w: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A58C33">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1.信访举报投诉类申请</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5B664EF">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666264">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FC6227">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9FCDED">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7B846F">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8E2D2F">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4E6974">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49A92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7"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B22508">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60B1EE">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1C2675">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2.重复申请</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5A4A9C">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31D7F71">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299D1D">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47D84D">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A7FEFA">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8A6394">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F220EF">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2D3B0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080BCC">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396261">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681E40F">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3.要求提供公开出版物</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AC6315">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6030B5">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FFC034">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3D127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54648C">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4D1FDC">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197552">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2C2DB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EE0DA5F">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68B967">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EB73A7">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4.无正当理由大量反复申请</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D6C36C">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9BEAE4">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715573">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DA68EC">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3F1EA2">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44F9CE">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189E85">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3B61A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4"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098FCA1">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FDA60A">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A623534">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5.要求行政机关确认或重新出具已获取信息</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797A4F">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D8A89C">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5472B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853E65">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738D0D">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2FDEAC">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594520">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2A4C0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9EE948">
            <w:pPr>
              <w:rPr>
                <w:rFonts w:hint="eastAsia" w:ascii="宋体" w:hAnsi="宋体" w:eastAsia="宋体" w:cs="宋体"/>
                <w:sz w:val="24"/>
                <w:szCs w:val="24"/>
              </w:rPr>
            </w:pPr>
          </w:p>
        </w:tc>
        <w:tc>
          <w:tcPr>
            <w:tcW w:w="854" w:type="dxa"/>
            <w:vMerge w:val="restart"/>
            <w:tcBorders>
              <w:top w:val="nil"/>
              <w:left w:val="nil"/>
              <w:bottom w:val="nil"/>
              <w:right w:val="single" w:color="auto" w:sz="8" w:space="0"/>
            </w:tcBorders>
            <w:shd w:val="clear" w:color="auto" w:fill="auto"/>
            <w:tcMar>
              <w:top w:w="0" w:type="dxa"/>
              <w:left w:w="108" w:type="dxa"/>
              <w:bottom w:w="0" w:type="dxa"/>
              <w:right w:w="108" w:type="dxa"/>
            </w:tcMar>
            <w:vAlign w:val="center"/>
          </w:tcPr>
          <w:p w14:paraId="27FDB6BA">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（六）其他处理</w:t>
            </w: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9B2273">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27AC1B1">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04C7CD">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36B675">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E2658D">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5984E6">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649C06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C74D1D5">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1D0A6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F8F41D">
            <w:pPr>
              <w:rPr>
                <w:rFonts w:hint="eastAsia" w:ascii="宋体" w:hAnsi="宋体" w:eastAsia="宋体" w:cs="宋体"/>
                <w:sz w:val="24"/>
                <w:szCs w:val="24"/>
              </w:rPr>
            </w:pPr>
          </w:p>
        </w:tc>
        <w:tc>
          <w:tcPr>
            <w:tcW w:w="854"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14:paraId="50A9AA54">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EA4A94">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A127B4">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14D5A5">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3D0C30">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019D22">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D0E297">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E6087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23F954">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611DD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3CCE86">
            <w:pPr>
              <w:rPr>
                <w:rFonts w:hint="eastAsia" w:ascii="宋体" w:hAnsi="宋体" w:eastAsia="宋体" w:cs="宋体"/>
                <w:sz w:val="24"/>
                <w:szCs w:val="24"/>
              </w:rPr>
            </w:pPr>
          </w:p>
        </w:tc>
        <w:tc>
          <w:tcPr>
            <w:tcW w:w="854"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14:paraId="7B75A16B">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EC966C">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3.其他</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E7FD017">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1F0BB7">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5BC3A8">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5B463BB">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F51BAA">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949AF2">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FE693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7F53C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4"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E9A1CDF">
            <w:pPr>
              <w:rPr>
                <w:rFonts w:hint="eastAsia" w:ascii="宋体" w:hAnsi="宋体" w:eastAsia="宋体" w:cs="宋体"/>
                <w:sz w:val="24"/>
                <w:szCs w:val="24"/>
              </w:rPr>
            </w:pPr>
          </w:p>
        </w:tc>
        <w:tc>
          <w:tcPr>
            <w:tcW w:w="307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8616B5">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（七）总计</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D4F9A2">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D0A7F8">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A54550">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8FF3A40">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124D85">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C277C0">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11EE8D">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249D5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0" w:hRule="atLeast"/>
          <w:jc w:val="center"/>
        </w:trPr>
        <w:tc>
          <w:tcPr>
            <w:tcW w:w="3687"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CFBF24">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四、结转下年度继续办理</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3F54E3">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B798F3">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51330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03F004">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E453A5">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73548A">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B3DAF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bl>
    <w:p w14:paraId="1564D045">
      <w:pPr>
        <w:keepNext w:val="0"/>
        <w:keepLines w:val="0"/>
        <w:widowControl/>
        <w:suppressLineNumbers w:val="0"/>
        <w:spacing w:before="0" w:beforeAutospacing="0" w:after="0" w:afterAutospacing="0" w:line="560" w:lineRule="atLeast"/>
        <w:ind w:left="0" w:right="0" w:firstLine="482"/>
        <w:jc w:val="left"/>
        <w:rPr>
          <w:rFonts w:hint="eastAsia" w:ascii="宋体" w:hAnsi="宋体" w:eastAsia="宋体" w:cs="宋体"/>
          <w:i w:val="0"/>
          <w:iCs w:val="0"/>
          <w:caps w:val="0"/>
          <w:color w:val="000000"/>
          <w:spacing w:val="0"/>
          <w:sz w:val="19"/>
          <w:szCs w:val="19"/>
        </w:rPr>
      </w:pPr>
      <w:r>
        <w:rPr>
          <w:rFonts w:hint="eastAsia" w:ascii="宋体" w:hAnsi="宋体" w:eastAsia="宋体" w:cs="宋体"/>
          <w:b/>
          <w:bCs/>
          <w:i w:val="0"/>
          <w:iCs w:val="0"/>
          <w:caps w:val="0"/>
          <w:color w:val="000000"/>
          <w:spacing w:val="0"/>
          <w:kern w:val="0"/>
          <w:sz w:val="24"/>
          <w:szCs w:val="24"/>
          <w:lang w:val="en-US" w:eastAsia="zh-CN" w:bidi="ar"/>
        </w:rPr>
        <w:t>四、政府信息公开行政复议、行政诉讼情况</w:t>
      </w:r>
    </w:p>
    <w:tbl>
      <w:tblPr>
        <w:tblStyle w:val="3"/>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0E6AC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FE63AF">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25AA2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行政诉讼</w:t>
            </w:r>
          </w:p>
        </w:tc>
      </w:tr>
      <w:tr w14:paraId="44239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3EB20C">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1BD9C1">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70B29F">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3B8028">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236A18">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9C326D">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12D616">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复议后起诉</w:t>
            </w:r>
          </w:p>
        </w:tc>
      </w:tr>
      <w:tr w14:paraId="04842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97D76F">
            <w:pPr>
              <w:rPr>
                <w:rFonts w:hint="eastAsia" w:ascii="宋体" w:hAnsi="宋体" w:eastAsia="宋体" w:cs="宋体"/>
                <w:sz w:val="24"/>
                <w:szCs w:val="24"/>
              </w:rPr>
            </w:pPr>
          </w:p>
        </w:tc>
        <w:tc>
          <w:tcPr>
            <w:tcW w:w="60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C905A4">
            <w:pPr>
              <w:rPr>
                <w:rFonts w:hint="eastAsia" w:ascii="宋体" w:hAnsi="宋体" w:eastAsia="宋体" w:cs="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B9C136">
            <w:pPr>
              <w:rPr>
                <w:rFonts w:hint="eastAsia" w:ascii="宋体" w:hAnsi="宋体" w:eastAsia="宋体" w:cs="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B6C63F">
            <w:pPr>
              <w:rPr>
                <w:rFonts w:hint="eastAsia" w:ascii="宋体" w:hAnsi="宋体" w:eastAsia="宋体" w:cs="宋体"/>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7B10BD">
            <w:pPr>
              <w:rPr>
                <w:rFonts w:hint="eastAsia" w:ascii="宋体" w:hAnsi="宋体" w:eastAsia="宋体" w:cs="宋体"/>
                <w:sz w:val="24"/>
                <w:szCs w:val="24"/>
              </w:rPr>
            </w:pP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FB7D3E">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91EAD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4985E1">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54CA16">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BC6E6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59416A">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7AD0AF">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480BBC">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559782">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A46234">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总计</w:t>
            </w:r>
          </w:p>
        </w:tc>
      </w:tr>
      <w:tr w14:paraId="1C318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8CCD31">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D7A8C7">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E6FBF2">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80108F">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01E39E">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629CE3">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60B716">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09B5C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74208B">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520D01">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ED7DBF">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741943">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668A4AD">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D68AD6">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A235B6">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0</w:t>
            </w:r>
          </w:p>
        </w:tc>
      </w:tr>
    </w:tbl>
    <w:p w14:paraId="0C21EDB5">
      <w:pPr>
        <w:keepNext w:val="0"/>
        <w:keepLines w:val="0"/>
        <w:widowControl/>
        <w:suppressLineNumbers w:val="0"/>
        <w:spacing w:before="0" w:beforeAutospacing="0" w:after="0" w:afterAutospacing="0" w:line="560" w:lineRule="atLeast"/>
        <w:ind w:left="0" w:right="0" w:firstLine="48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五、存在的主要问题及改进情况</w:t>
      </w:r>
    </w:p>
    <w:p w14:paraId="24591E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24"/>
          <w:szCs w:val="24"/>
        </w:rPr>
        <w:t>202</w:t>
      </w:r>
      <w:r>
        <w:rPr>
          <w:rFonts w:hint="eastAsia" w:ascii="宋体" w:hAnsi="宋体" w:eastAsia="宋体" w:cs="宋体"/>
          <w:i w:val="0"/>
          <w:iCs w:val="0"/>
          <w:caps w:val="0"/>
          <w:color w:val="000000"/>
          <w:spacing w:val="0"/>
          <w:sz w:val="24"/>
          <w:szCs w:val="24"/>
          <w:lang w:val="en-US" w:eastAsia="zh-CN"/>
        </w:rPr>
        <w:t>4</w:t>
      </w:r>
      <w:r>
        <w:rPr>
          <w:rFonts w:hint="eastAsia" w:ascii="宋体" w:hAnsi="宋体" w:eastAsia="宋体" w:cs="宋体"/>
          <w:i w:val="0"/>
          <w:iCs w:val="0"/>
          <w:caps w:val="0"/>
          <w:color w:val="000000"/>
          <w:spacing w:val="0"/>
          <w:sz w:val="24"/>
          <w:szCs w:val="24"/>
        </w:rPr>
        <w:t>年，莲花乡政务公开工作取得了一定的成绩，但对照省、市相关工作要求，还存在一些差距：一是对政府信息公开的重要性认识还不够到位。公开为常态、不公开为例外的意识尚未真正确立，导致整体信息公开规范性受到一定影响；二是信息公开创新意识、服务意识还有待进一步提高。三是信息公开工作力量需要进一步加强。</w:t>
      </w:r>
    </w:p>
    <w:p w14:paraId="385E70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24"/>
          <w:szCs w:val="24"/>
        </w:rPr>
        <w:t>在202</w:t>
      </w:r>
      <w:r>
        <w:rPr>
          <w:rFonts w:hint="eastAsia" w:ascii="宋体" w:hAnsi="宋体" w:eastAsia="宋体" w:cs="宋体"/>
          <w:i w:val="0"/>
          <w:iCs w:val="0"/>
          <w:caps w:val="0"/>
          <w:color w:val="000000"/>
          <w:spacing w:val="0"/>
          <w:sz w:val="24"/>
          <w:szCs w:val="24"/>
          <w:lang w:val="en-US" w:eastAsia="zh-CN"/>
        </w:rPr>
        <w:t>5</w:t>
      </w:r>
      <w:r>
        <w:rPr>
          <w:rFonts w:hint="eastAsia" w:ascii="宋体" w:hAnsi="宋体" w:eastAsia="宋体" w:cs="宋体"/>
          <w:i w:val="0"/>
          <w:iCs w:val="0"/>
          <w:caps w:val="0"/>
          <w:color w:val="000000"/>
          <w:spacing w:val="0"/>
          <w:sz w:val="24"/>
          <w:szCs w:val="24"/>
        </w:rPr>
        <w:t>年我乡将按照以下三项进行改进。</w:t>
      </w:r>
    </w:p>
    <w:p w14:paraId="450F8C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24"/>
          <w:szCs w:val="24"/>
        </w:rPr>
        <w:t>一是提高认识，强化观念。坚持以公开为常态，不公开为例外，遵循公正、公平、合法、便民的原则进行公开。加大培训力度，提高工作人员业务水平，确保信息公开工作顺利开展；</w:t>
      </w:r>
    </w:p>
    <w:p w14:paraId="74D101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24"/>
          <w:szCs w:val="24"/>
        </w:rPr>
        <w:t>二是深化政务公开内容。结合我乡重点工作，加大“五公开”力度，增强政务信息公开工作的针对性，时效性，对政务公开栏目进行科学合理设置，方便广大群众；</w:t>
      </w:r>
    </w:p>
    <w:p w14:paraId="65EC0A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24"/>
          <w:szCs w:val="24"/>
        </w:rPr>
        <w:t>三是进一步完善和落实政府信息公开工作机制和制度规范。强化对政务公开工作的指导和监督，健全有关检查制度、责任追究制度、反馈制度，展开全方位立体化完善制度，确保政府信息公开工作落到实处。</w:t>
      </w:r>
    </w:p>
    <w:p w14:paraId="15FE9BBB">
      <w:pPr>
        <w:keepNext w:val="0"/>
        <w:keepLines w:val="0"/>
        <w:widowControl/>
        <w:suppressLineNumbers w:val="0"/>
        <w:spacing w:before="0" w:beforeAutospacing="0" w:after="0" w:afterAutospacing="0" w:line="560" w:lineRule="atLeast"/>
        <w:ind w:left="0" w:right="0" w:firstLine="482"/>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六、其他需要报告的事项</w:t>
      </w:r>
    </w:p>
    <w:p w14:paraId="7240572E">
      <w:pPr>
        <w:keepNext w:val="0"/>
        <w:keepLines w:val="0"/>
        <w:widowControl/>
        <w:suppressLineNumbers w:val="0"/>
        <w:spacing w:before="0" w:beforeAutospacing="0" w:after="0" w:afterAutospacing="0" w:line="560" w:lineRule="atLeast"/>
        <w:ind w:left="0" w:right="0" w:firstLine="48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333333"/>
          <w:spacing w:val="0"/>
          <w:kern w:val="0"/>
          <w:sz w:val="24"/>
          <w:szCs w:val="24"/>
          <w:lang w:val="en-US" w:eastAsia="zh-CN" w:bidi="ar"/>
        </w:rPr>
        <w:t>无</w:t>
      </w:r>
    </w:p>
    <w:p w14:paraId="590E3557">
      <w:pPr>
        <w:pStyle w:val="2"/>
        <w:keepNext w:val="0"/>
        <w:keepLines w:val="0"/>
        <w:widowControl/>
        <w:suppressLineNumbers w:val="0"/>
        <w:wordWrap w:val="0"/>
        <w:spacing w:before="0" w:beforeAutospacing="0" w:after="0" w:afterAutospacing="0" w:line="560" w:lineRule="atLeast"/>
        <w:ind w:right="0"/>
        <w:jc w:val="right"/>
        <w:rPr>
          <w:rFonts w:hint="eastAsia" w:ascii="宋体" w:hAnsi="宋体" w:eastAsia="宋体" w:cs="宋体"/>
          <w:i w:val="0"/>
          <w:iCs w:val="0"/>
          <w:caps w:val="0"/>
          <w:color w:val="000000"/>
          <w:spacing w:val="0"/>
          <w:sz w:val="24"/>
          <w:szCs w:val="24"/>
        </w:rPr>
      </w:pPr>
    </w:p>
    <w:p w14:paraId="6882E640">
      <w:pPr>
        <w:pStyle w:val="2"/>
        <w:keepNext w:val="0"/>
        <w:keepLines w:val="0"/>
        <w:widowControl/>
        <w:suppressLineNumbers w:val="0"/>
        <w:wordWrap w:val="0"/>
        <w:spacing w:before="0" w:beforeAutospacing="0" w:after="0" w:afterAutospacing="0" w:line="560" w:lineRule="atLeast"/>
        <w:ind w:right="0"/>
        <w:jc w:val="right"/>
        <w:rPr>
          <w:rFonts w:hint="eastAsia" w:ascii="宋体" w:hAnsi="宋体" w:eastAsia="宋体" w:cs="宋体"/>
          <w:i w:val="0"/>
          <w:iCs w:val="0"/>
          <w:caps w:val="0"/>
          <w:color w:val="000000"/>
          <w:spacing w:val="0"/>
          <w:sz w:val="19"/>
          <w:szCs w:val="19"/>
          <w:lang w:val="en-US" w:eastAsia="zh-CN"/>
        </w:rPr>
      </w:pPr>
      <w:r>
        <w:rPr>
          <w:rFonts w:hint="eastAsia" w:ascii="宋体" w:hAnsi="宋体" w:eastAsia="宋体" w:cs="宋体"/>
          <w:i w:val="0"/>
          <w:iCs w:val="0"/>
          <w:caps w:val="0"/>
          <w:color w:val="000000"/>
          <w:spacing w:val="0"/>
          <w:sz w:val="24"/>
          <w:szCs w:val="24"/>
        </w:rPr>
        <w:t>莲花乡人民政府</w:t>
      </w:r>
      <w:r>
        <w:rPr>
          <w:rFonts w:hint="eastAsia" w:ascii="宋体" w:hAnsi="宋体" w:eastAsia="宋体" w:cs="宋体"/>
          <w:i w:val="0"/>
          <w:iCs w:val="0"/>
          <w:caps w:val="0"/>
          <w:color w:val="000000"/>
          <w:spacing w:val="0"/>
          <w:sz w:val="24"/>
          <w:szCs w:val="24"/>
          <w:lang w:val="en-US" w:eastAsia="zh-CN"/>
        </w:rPr>
        <w:t xml:space="preserve"> </w:t>
      </w:r>
    </w:p>
    <w:p w14:paraId="36A98F22">
      <w:pPr>
        <w:pStyle w:val="2"/>
        <w:keepNext w:val="0"/>
        <w:keepLines w:val="0"/>
        <w:widowControl/>
        <w:suppressLineNumbers w:val="0"/>
        <w:spacing w:before="0" w:beforeAutospacing="0" w:after="0" w:afterAutospacing="0" w:line="560" w:lineRule="atLeast"/>
        <w:ind w:left="0" w:right="0" w:firstLine="648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24"/>
          <w:szCs w:val="24"/>
        </w:rPr>
        <w:t>202</w:t>
      </w:r>
      <w:r>
        <w:rPr>
          <w:rFonts w:hint="eastAsia" w:ascii="宋体" w:hAnsi="宋体" w:eastAsia="宋体" w:cs="宋体"/>
          <w:i w:val="0"/>
          <w:iCs w:val="0"/>
          <w:caps w:val="0"/>
          <w:color w:val="000000"/>
          <w:spacing w:val="0"/>
          <w:sz w:val="24"/>
          <w:szCs w:val="24"/>
          <w:lang w:val="en-US" w:eastAsia="zh-CN"/>
        </w:rPr>
        <w:t>5</w:t>
      </w:r>
      <w:r>
        <w:rPr>
          <w:rFonts w:hint="eastAsia" w:ascii="宋体" w:hAnsi="宋体" w:eastAsia="宋体" w:cs="宋体"/>
          <w:i w:val="0"/>
          <w:iCs w:val="0"/>
          <w:caps w:val="0"/>
          <w:color w:val="000000"/>
          <w:spacing w:val="0"/>
          <w:sz w:val="24"/>
          <w:szCs w:val="24"/>
        </w:rPr>
        <w:t>年1月</w:t>
      </w:r>
      <w:r>
        <w:rPr>
          <w:rFonts w:hint="eastAsia" w:ascii="宋体" w:hAnsi="宋体" w:eastAsia="宋体" w:cs="宋体"/>
          <w:i w:val="0"/>
          <w:iCs w:val="0"/>
          <w:caps w:val="0"/>
          <w:color w:val="000000"/>
          <w:spacing w:val="0"/>
          <w:sz w:val="24"/>
          <w:szCs w:val="24"/>
          <w:lang w:val="en-US" w:eastAsia="zh-CN"/>
        </w:rPr>
        <w:t>10</w:t>
      </w:r>
      <w:bookmarkStart w:id="0" w:name="_GoBack"/>
      <w:bookmarkEnd w:id="0"/>
      <w:r>
        <w:rPr>
          <w:rFonts w:hint="eastAsia" w:ascii="宋体" w:hAnsi="宋体" w:eastAsia="宋体" w:cs="宋体"/>
          <w:i w:val="0"/>
          <w:iCs w:val="0"/>
          <w:caps w:val="0"/>
          <w:color w:val="000000"/>
          <w:spacing w:val="0"/>
          <w:sz w:val="24"/>
          <w:szCs w:val="24"/>
        </w:rPr>
        <w:t>日</w:t>
      </w:r>
    </w:p>
    <w:p w14:paraId="3AE3A304"/>
    <w:sectPr>
      <w:pgSz w:w="11906" w:h="16838"/>
      <w:pgMar w:top="1327"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NTFhNWFkZTY0YTczMTYxNjc4ODg2NjQyZjM0ZjQifQ=="/>
  </w:docVars>
  <w:rsids>
    <w:rsidRoot w:val="7D214405"/>
    <w:rsid w:val="003550AC"/>
    <w:rsid w:val="058F34B0"/>
    <w:rsid w:val="070457D8"/>
    <w:rsid w:val="079F3753"/>
    <w:rsid w:val="07F67816"/>
    <w:rsid w:val="0A2C5771"/>
    <w:rsid w:val="0BC1054F"/>
    <w:rsid w:val="0C2506CA"/>
    <w:rsid w:val="110765F0"/>
    <w:rsid w:val="130D1EB8"/>
    <w:rsid w:val="168129A1"/>
    <w:rsid w:val="17DE2FB7"/>
    <w:rsid w:val="183B11C6"/>
    <w:rsid w:val="1AD31C39"/>
    <w:rsid w:val="1AFF47DC"/>
    <w:rsid w:val="1B0F6F0E"/>
    <w:rsid w:val="1F134CFA"/>
    <w:rsid w:val="1FA63478"/>
    <w:rsid w:val="20592BE1"/>
    <w:rsid w:val="23FE282D"/>
    <w:rsid w:val="25BA3691"/>
    <w:rsid w:val="2702368A"/>
    <w:rsid w:val="27313F6F"/>
    <w:rsid w:val="28245882"/>
    <w:rsid w:val="2BD355F5"/>
    <w:rsid w:val="2C482942"/>
    <w:rsid w:val="2FEE3B30"/>
    <w:rsid w:val="307D6477"/>
    <w:rsid w:val="3350699D"/>
    <w:rsid w:val="34930017"/>
    <w:rsid w:val="355048E0"/>
    <w:rsid w:val="3C636521"/>
    <w:rsid w:val="3DD8351D"/>
    <w:rsid w:val="41760AA5"/>
    <w:rsid w:val="45992FB4"/>
    <w:rsid w:val="46A04AA9"/>
    <w:rsid w:val="48D2515B"/>
    <w:rsid w:val="4A981A8C"/>
    <w:rsid w:val="4ADF76BB"/>
    <w:rsid w:val="4BFE0015"/>
    <w:rsid w:val="4C343A36"/>
    <w:rsid w:val="4D6046FD"/>
    <w:rsid w:val="4E0D2791"/>
    <w:rsid w:val="547C41CC"/>
    <w:rsid w:val="574B09A8"/>
    <w:rsid w:val="58A32BF8"/>
    <w:rsid w:val="5A6C4CE3"/>
    <w:rsid w:val="5A8913F1"/>
    <w:rsid w:val="5AE20B01"/>
    <w:rsid w:val="5E5C4733"/>
    <w:rsid w:val="5FCA04E2"/>
    <w:rsid w:val="601B4DC9"/>
    <w:rsid w:val="608D150F"/>
    <w:rsid w:val="671169F6"/>
    <w:rsid w:val="674072DB"/>
    <w:rsid w:val="675B5EC3"/>
    <w:rsid w:val="686F594A"/>
    <w:rsid w:val="694D7A8E"/>
    <w:rsid w:val="69ED2C51"/>
    <w:rsid w:val="6A276531"/>
    <w:rsid w:val="6FF0402F"/>
    <w:rsid w:val="76031620"/>
    <w:rsid w:val="77FF289B"/>
    <w:rsid w:val="7B446F42"/>
    <w:rsid w:val="7D214405"/>
    <w:rsid w:val="7D44147C"/>
    <w:rsid w:val="7D9A79B6"/>
    <w:rsid w:val="7E066731"/>
    <w:rsid w:val="7E141A72"/>
    <w:rsid w:val="7F394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2881</Words>
  <Characters>2943</Characters>
  <Lines>0</Lines>
  <Paragraphs>0</Paragraphs>
  <TotalTime>40</TotalTime>
  <ScaleCrop>false</ScaleCrop>
  <LinksUpToDate>false</LinksUpToDate>
  <CharactersWithSpaces>2960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2024-01-02T15:26:00Z</dcterms:created>
  <dc:creator>ㅤ</dc:creator>
  <cp:lastModifiedBy>ㅤ</cp:lastModifiedBy>
  <cp:lastPrinted>2024-01-03T04:37:00Z</cp:lastPrinted>
  <dcterms:modified xsi:type="dcterms:W3CDTF">2025-01-10T07:10:00Z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E97983BE0C3F47DC865619EF601B6E7E_11</vt:lpwstr>
  </property>
  <property fmtid="{D5CDD505-2E9C-101B-9397-08002B2CF9AE}" pid="4" name="KSOTemplateDocerSaveRecord">
    <vt:lpwstr>eyJoZGlkIjoiZjg2NTFhNWFkZTY0YTczMTYxNjc4ODg2NjQyZjM0ZjQiLCJ1c2VySWQiOiIzMTg0NzM5MiJ9</vt:lpwstr>
  </property>
</Properties>
</file>