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084D8A8">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舒兰市平安镇人民政府</w:t>
      </w:r>
    </w:p>
    <w:p w14:paraId="694C627D">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年政府信息公开工作年度报告</w:t>
      </w:r>
    </w:p>
    <w:p w14:paraId="2A00534C">
      <w:pPr>
        <w:pStyle w:val="7"/>
        <w:rPr>
          <w:rFonts w:hint="eastAsia"/>
        </w:rPr>
      </w:pPr>
    </w:p>
    <w:p w14:paraId="4EBDD7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b w:val="0"/>
          <w:bCs w:val="0"/>
          <w:color w:val="333333"/>
          <w:sz w:val="24"/>
          <w:szCs w:val="24"/>
        </w:rPr>
      </w:pPr>
      <w:r>
        <w:rPr>
          <w:rFonts w:cs="Times New Roman" w:asciiTheme="minorEastAsia" w:hAnsiTheme="minorEastAsia"/>
          <w:color w:val="000000"/>
          <w:sz w:val="24"/>
          <w:szCs w:val="24"/>
          <w:shd w:val="clear" w:color="auto" w:fill="FFFFFF"/>
        </w:rPr>
        <w:t>202</w:t>
      </w:r>
      <w:r>
        <w:rPr>
          <w:rFonts w:hint="eastAsia" w:cs="Times New Roman" w:asciiTheme="minorEastAsia" w:hAnsiTheme="minorEastAsia"/>
          <w:color w:val="000000"/>
          <w:sz w:val="24"/>
          <w:szCs w:val="24"/>
          <w:shd w:val="clear" w:color="auto" w:fill="FFFFFF"/>
          <w:lang w:val="en-US" w:eastAsia="zh-CN"/>
        </w:rPr>
        <w:t>5</w:t>
      </w:r>
      <w:r>
        <w:rPr>
          <w:rFonts w:asciiTheme="minorEastAsia" w:hAnsiTheme="minorEastAsia"/>
          <w:color w:val="000000"/>
          <w:sz w:val="24"/>
          <w:szCs w:val="24"/>
          <w:shd w:val="clear" w:color="auto" w:fill="FFFFFF"/>
        </w:rPr>
        <w:t>年，我镇根据《中华人民共和国政府信息公开条例》有关规定和舒兰市政府对政府信息公开工作的具体实施要求，进一步提高</w:t>
      </w:r>
      <w:bookmarkStart w:id="0" w:name="_GoBack"/>
      <w:bookmarkEnd w:id="0"/>
      <w:r>
        <w:rPr>
          <w:rFonts w:asciiTheme="minorEastAsia" w:hAnsiTheme="minorEastAsia"/>
          <w:color w:val="000000"/>
          <w:sz w:val="24"/>
          <w:szCs w:val="24"/>
          <w:shd w:val="clear" w:color="auto" w:fill="FFFFFF"/>
        </w:rPr>
        <w:t>了政府工作的透明度和公信度，促进了法治政府、责任政府和服务型政府建设。</w:t>
      </w:r>
      <w:r>
        <w:rPr>
          <w:rFonts w:hint="eastAsia" w:cs="Times New Roman" w:asciiTheme="minorEastAsia" w:hAnsiTheme="minorEastAsia"/>
          <w:color w:val="000000"/>
          <w:sz w:val="24"/>
          <w:szCs w:val="24"/>
          <w:shd w:val="clear" w:color="auto" w:fill="FFFFFF"/>
        </w:rPr>
        <w:t>全文包括总体情况、主动公开政府信息情况、收到和处理政府信息公开申请情况、政府信息公开行政复议、行政诉讼情况、存在的主要问题及改进情况及其他需要报告的事项等六个部分，报告中所列数据的统计期限从202</w:t>
      </w:r>
      <w:r>
        <w:rPr>
          <w:rFonts w:hint="eastAsia" w:cs="Times New Roman" w:asciiTheme="minorEastAsia" w:hAnsiTheme="minorEastAsia"/>
          <w:color w:val="000000"/>
          <w:sz w:val="24"/>
          <w:szCs w:val="24"/>
          <w:shd w:val="clear" w:color="auto" w:fill="FFFFFF"/>
          <w:lang w:val="en-US" w:eastAsia="zh-CN"/>
        </w:rPr>
        <w:t>5</w:t>
      </w:r>
      <w:r>
        <w:rPr>
          <w:rFonts w:hint="eastAsia" w:cs="Times New Roman" w:asciiTheme="minorEastAsia" w:hAnsiTheme="minorEastAsia"/>
          <w:color w:val="000000"/>
          <w:sz w:val="24"/>
          <w:szCs w:val="24"/>
          <w:shd w:val="clear" w:color="auto" w:fill="FFFFFF"/>
        </w:rPr>
        <w:t>年1月1日至12月31日止。</w:t>
      </w:r>
      <w:r>
        <w:rPr>
          <w:rFonts w:asciiTheme="minorEastAsia" w:hAnsiTheme="minorEastAsia"/>
          <w:color w:val="000000"/>
          <w:sz w:val="24"/>
          <w:szCs w:val="24"/>
          <w:shd w:val="clear" w:color="auto" w:fill="FFFFFF"/>
        </w:rPr>
        <w:t>报告在舒兰市人民政府网站政府信息公开专栏，如对本报告有任何异议，请与</w:t>
      </w:r>
      <w:r>
        <w:rPr>
          <w:rFonts w:hint="eastAsia" w:asciiTheme="minorEastAsia" w:hAnsiTheme="minorEastAsia"/>
          <w:color w:val="000000"/>
          <w:sz w:val="24"/>
          <w:szCs w:val="24"/>
          <w:shd w:val="clear" w:color="auto" w:fill="FFFFFF"/>
          <w:lang w:eastAsia="zh-CN"/>
        </w:rPr>
        <w:t>平安</w:t>
      </w:r>
      <w:r>
        <w:rPr>
          <w:rFonts w:asciiTheme="minorEastAsia" w:hAnsiTheme="minorEastAsia"/>
          <w:color w:val="000000"/>
          <w:sz w:val="24"/>
          <w:szCs w:val="24"/>
          <w:shd w:val="clear" w:color="auto" w:fill="FFFFFF"/>
        </w:rPr>
        <w:t>镇人民政府办公室联系，地址：吉林省舒兰市</w:t>
      </w:r>
      <w:r>
        <w:rPr>
          <w:rFonts w:hint="eastAsia" w:asciiTheme="minorEastAsia" w:hAnsiTheme="minorEastAsia"/>
          <w:color w:val="000000"/>
          <w:sz w:val="24"/>
          <w:szCs w:val="24"/>
          <w:shd w:val="clear" w:color="auto" w:fill="FFFFFF"/>
          <w:lang w:eastAsia="zh-CN"/>
        </w:rPr>
        <w:t>平安镇平安大街</w:t>
      </w:r>
      <w:r>
        <w:rPr>
          <w:rFonts w:hint="eastAsia" w:asciiTheme="minorEastAsia" w:hAnsiTheme="minorEastAsia"/>
          <w:color w:val="000000"/>
          <w:sz w:val="24"/>
          <w:szCs w:val="24"/>
          <w:shd w:val="clear" w:color="auto" w:fill="FFFFFF"/>
          <w:lang w:val="en-US" w:eastAsia="zh-CN"/>
        </w:rPr>
        <w:t>95号</w:t>
      </w:r>
      <w:r>
        <w:rPr>
          <w:rFonts w:asciiTheme="minorEastAsia" w:hAnsiTheme="minorEastAsia"/>
          <w:color w:val="000000"/>
          <w:sz w:val="24"/>
          <w:szCs w:val="24"/>
          <w:shd w:val="clear" w:color="auto" w:fill="FFFFFF"/>
        </w:rPr>
        <w:t>，邮编：</w:t>
      </w:r>
      <w:r>
        <w:rPr>
          <w:rFonts w:hint="eastAsia" w:cs="Times New Roman" w:asciiTheme="minorEastAsia" w:hAnsiTheme="minorEastAsia"/>
          <w:color w:val="000000"/>
          <w:sz w:val="24"/>
          <w:szCs w:val="24"/>
          <w:shd w:val="clear" w:color="auto" w:fill="FFFFFF"/>
          <w:lang w:val="en-US" w:eastAsia="zh-CN"/>
        </w:rPr>
        <w:t>132605</w:t>
      </w:r>
      <w:r>
        <w:rPr>
          <w:rFonts w:asciiTheme="minorEastAsia" w:hAnsiTheme="minorEastAsia"/>
          <w:color w:val="000000"/>
          <w:sz w:val="24"/>
          <w:szCs w:val="24"/>
          <w:shd w:val="clear" w:color="auto" w:fill="FFFFFF"/>
        </w:rPr>
        <w:t>，联系电话：</w:t>
      </w:r>
      <w:r>
        <w:rPr>
          <w:rFonts w:cs="Times New Roman" w:asciiTheme="minorEastAsia" w:hAnsiTheme="minorEastAsia"/>
          <w:color w:val="000000"/>
          <w:sz w:val="24"/>
          <w:szCs w:val="24"/>
          <w:shd w:val="clear" w:color="auto" w:fill="FFFFFF"/>
        </w:rPr>
        <w:t>0432-</w:t>
      </w:r>
      <w:r>
        <w:rPr>
          <w:rFonts w:hint="eastAsia" w:cs="Times New Roman" w:asciiTheme="minorEastAsia" w:hAnsiTheme="minorEastAsia"/>
          <w:color w:val="000000"/>
          <w:sz w:val="24"/>
          <w:szCs w:val="24"/>
          <w:shd w:val="clear" w:color="auto" w:fill="FFFFFF"/>
          <w:lang w:val="en-US" w:eastAsia="zh-CN"/>
        </w:rPr>
        <w:t>68322203</w:t>
      </w:r>
      <w:r>
        <w:rPr>
          <w:rFonts w:asciiTheme="minorEastAsia" w:hAnsiTheme="minorEastAsia"/>
          <w:color w:val="000000"/>
          <w:sz w:val="24"/>
          <w:szCs w:val="24"/>
          <w:shd w:val="clear" w:color="auto" w:fill="FFFFFF"/>
        </w:rPr>
        <w:t>。现将</w:t>
      </w:r>
      <w:r>
        <w:rPr>
          <w:rFonts w:hint="eastAsia" w:asciiTheme="minorEastAsia" w:hAnsiTheme="minorEastAsia"/>
          <w:color w:val="000000"/>
          <w:sz w:val="24"/>
          <w:szCs w:val="24"/>
          <w:shd w:val="clear" w:color="auto" w:fill="FFFFFF"/>
          <w:lang w:eastAsia="zh-CN"/>
        </w:rPr>
        <w:t>平安</w:t>
      </w:r>
      <w:r>
        <w:rPr>
          <w:rFonts w:asciiTheme="minorEastAsia" w:hAnsiTheme="minorEastAsia"/>
          <w:color w:val="000000"/>
          <w:sz w:val="24"/>
          <w:szCs w:val="24"/>
          <w:shd w:val="clear" w:color="auto" w:fill="FFFFFF"/>
        </w:rPr>
        <w:t>镇</w:t>
      </w:r>
      <w:r>
        <w:rPr>
          <w:rFonts w:cs="Times New Roman" w:asciiTheme="minorEastAsia" w:hAnsiTheme="minorEastAsia"/>
          <w:color w:val="000000"/>
          <w:sz w:val="24"/>
          <w:szCs w:val="24"/>
          <w:shd w:val="clear" w:color="auto" w:fill="FFFFFF"/>
        </w:rPr>
        <w:t>202</w:t>
      </w:r>
      <w:r>
        <w:rPr>
          <w:rFonts w:hint="eastAsia" w:cs="Times New Roman" w:asciiTheme="minorEastAsia" w:hAnsiTheme="minorEastAsia"/>
          <w:color w:val="000000"/>
          <w:sz w:val="24"/>
          <w:szCs w:val="24"/>
          <w:shd w:val="clear" w:color="auto" w:fill="FFFFFF"/>
          <w:lang w:val="en-US" w:eastAsia="zh-CN"/>
        </w:rPr>
        <w:t>5</w:t>
      </w:r>
      <w:r>
        <w:rPr>
          <w:rFonts w:asciiTheme="minorEastAsia" w:hAnsiTheme="minorEastAsia"/>
          <w:color w:val="000000"/>
          <w:sz w:val="24"/>
          <w:szCs w:val="24"/>
          <w:shd w:val="clear" w:color="auto" w:fill="FFFFFF"/>
        </w:rPr>
        <w:t>年度政府信息公开工作报告如下：</w:t>
      </w:r>
    </w:p>
    <w:p w14:paraId="179375D1">
      <w:pPr>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一、总体情况</w:t>
      </w:r>
    </w:p>
    <w:p w14:paraId="1623C8E5">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lang w:eastAsia="zh-CN"/>
        </w:rPr>
        <w:t>年，平安镇人民政府在市委、市政府的正确领导下，认真贯彻落实《中华人民共和国政府信息公开条例》，积极推进政府信息公开工作，保障公民的知情权、参与权和监督权。在过去的的一年中，我们始终坚持“公开为原则，不公开为例外”的原则，全面、及时、准确地发布政府信息，充分保障了公民的合法权益。</w:t>
      </w:r>
    </w:p>
    <w:p w14:paraId="212C5B0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在主动公开政府信息方面，我们下足了功夫。通过政府</w:t>
      </w:r>
      <w:r>
        <w:rPr>
          <w:rFonts w:hint="eastAsia" w:asciiTheme="minorEastAsia" w:hAnsiTheme="minorEastAsia" w:cstheme="minorEastAsia"/>
          <w:sz w:val="24"/>
          <w:szCs w:val="24"/>
          <w:lang w:eastAsia="zh-CN"/>
        </w:rPr>
        <w:t>公式、公告栏</w:t>
      </w:r>
      <w:r>
        <w:rPr>
          <w:rFonts w:hint="eastAsia" w:asciiTheme="minorEastAsia" w:hAnsiTheme="minorEastAsia" w:eastAsiaTheme="minorEastAsia" w:cstheme="minorEastAsia"/>
          <w:sz w:val="24"/>
          <w:szCs w:val="24"/>
          <w:lang w:eastAsia="zh-CN"/>
        </w:rPr>
        <w:t>等多种渠道，向社会公众发布了大量有价值的信息。这些信息内容丰富、涉及面广，包括机构职能、政策法规、规划计划、业务工作等方方面面。我们注重信息的及时性和准确性，确保公众能够第一时间了解到政府的工作动态和重要决策。同时，我们还积极回应社会关切，及时发布权威信息，有效引导社会舆论。</w:t>
      </w:r>
    </w:p>
    <w:p w14:paraId="3C2A2DAF">
      <w:pPr>
        <w:pStyle w:val="7"/>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依申请公开政府信息方面，我们始终秉持着“以人民为中心”的服务理念。我们建立健全了依申请公开制度，明确了依申请公开的受理机构、受理流程、办理时限等，确保公民能够依法有序地申请获取政府信息。在处理申请时，我们严格按照相关规定进行办理，做到既保障公民的知情权，又维护政府的合法权益。</w:t>
      </w:r>
    </w:p>
    <w:p w14:paraId="70D8312C">
      <w:pPr>
        <w:pStyle w:val="7"/>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年，我们共收到政府信息公开申请</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件，其中年报</w:t>
      </w:r>
      <w:r>
        <w:rPr>
          <w:rFonts w:hint="eastAsia" w:asciiTheme="minorEastAsia" w:hAnsiTheme="minorEastAsia" w:eastAsiaTheme="minorEastAsia" w:cstheme="minorEastAsia"/>
          <w:sz w:val="24"/>
          <w:szCs w:val="24"/>
          <w:lang w:val="en-US" w:eastAsia="zh-CN"/>
        </w:rPr>
        <w:t>1件。</w:t>
      </w:r>
      <w:r>
        <w:rPr>
          <w:rFonts w:hint="eastAsia" w:asciiTheme="minorEastAsia" w:hAnsiTheme="minorEastAsia" w:eastAsiaTheme="minorEastAsia" w:cstheme="minorEastAsia"/>
          <w:sz w:val="24"/>
          <w:szCs w:val="24"/>
          <w:lang w:eastAsia="zh-CN"/>
        </w:rPr>
        <w:t>涉农补贴在13个村政务公开栏进行公示，保障群众的知情权，树立公信力。未收到依申请公开信息。</w:t>
      </w:r>
    </w:p>
    <w:p w14:paraId="2A2BCF6C">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政府信息公开的收费方面，我们始终坚持“公益为先、服务为本”的原则。我们明确规定，对于申请公开政府信息的公民，原则上是不收费的。对于一些特殊情况需要收取成本费用的，我们也严格按照实际发生的成本进行收费。在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年，我们未收取任何政府信息公开费用，切实减轻了公民的经济负担。</w:t>
      </w:r>
    </w:p>
    <w:p w14:paraId="3C9CC263">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在处理因政府信息公开申请行政复议、提起行政诉讼的情况时，我们高度重视并采取妥善措施进行解决。我们建立了完善的应对机制，一旦发生相关情况能够迅速介入并依法进行处理。202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年，我镇未发生因政府信息公开申请行政复议、提起行政诉讼的情况。这一成果的取得，离不开全镇工作人员的努力和公众的理解与支持。</w:t>
      </w:r>
    </w:p>
    <w:p w14:paraId="438A30D8">
      <w:pPr>
        <w:pStyle w:val="7"/>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eastAsia" w:asciiTheme="minorEastAsia" w:hAnsiTheme="minorEastAsia" w:eastAsiaTheme="minorEastAsia" w:cstheme="minorEastAsia"/>
          <w:sz w:val="24"/>
          <w:szCs w:val="24"/>
          <w:lang w:eastAsia="zh-CN"/>
        </w:rPr>
      </w:pPr>
    </w:p>
    <w:p w14:paraId="2E53BC14">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4F47D605">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AEC70E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28630EE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57510B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0DE0F8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D5E40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BD1AE1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1003482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AC783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2F11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52244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1E1B7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8BBC925">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2ED41A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F7AEAA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6BE1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D402A3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03012CE">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8F5062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7462A09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BBF0F7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8FD997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1F34380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4D084A">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3E169D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0B487F8">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7FF2F6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2F57E3D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326A7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C66E1F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CEF705C">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4C904A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3FB51C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1E7AB16">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11362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D6195F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76C4DDA">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9EBAEB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3CB084A4">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B8E432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1BC177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084C2B2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438724">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63A0ED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BBFEF42">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5A7E4672">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DB3785">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098B71">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7FF5B79F">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51041AD1">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4A8DB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5DEE29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0C1720D8">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F89637">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2B6708">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76966E6B">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1B6EB0DB">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64D72896">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F873FC">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F3FEE">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BAC70E">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5DA98D">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76062C">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612F203B">
            <w:pPr>
              <w:widowControl/>
              <w:jc w:val="left"/>
              <w:rPr>
                <w:rFonts w:ascii="宋体" w:hAnsi="宋体" w:eastAsia="宋体" w:cs="宋体"/>
                <w:kern w:val="0"/>
                <w:sz w:val="24"/>
                <w:szCs w:val="24"/>
              </w:rPr>
            </w:pPr>
          </w:p>
        </w:tc>
      </w:tr>
      <w:tr w14:paraId="4B0F51E2">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7B95AA">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599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5B394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961F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DC40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CAEC7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9917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4FEC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49E58F9">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B271E0">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B5140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2DFD8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8C8DE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45A72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CF0157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6AB1A6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40F601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5A5B1AE3">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A7549A">
            <w:pPr>
              <w:widowControl/>
              <w:rPr>
                <w:rFonts w:hint="eastAsia" w:ascii="宋体" w:hAnsi="宋体" w:eastAsia="宋体" w:cs="宋体"/>
                <w:kern w:val="0"/>
                <w:sz w:val="20"/>
                <w:szCs w:val="20"/>
              </w:rPr>
            </w:pPr>
          </w:p>
          <w:p w14:paraId="6BF7CE90">
            <w:pPr>
              <w:widowControl/>
              <w:rPr>
                <w:rFonts w:hint="eastAsia" w:ascii="宋体" w:hAnsi="宋体" w:eastAsia="宋体" w:cs="宋体"/>
                <w:kern w:val="0"/>
                <w:sz w:val="20"/>
                <w:szCs w:val="20"/>
              </w:rPr>
            </w:pPr>
          </w:p>
          <w:p w14:paraId="27E2EA37">
            <w:pPr>
              <w:widowControl/>
              <w:rPr>
                <w:rFonts w:hint="eastAsia" w:ascii="宋体" w:hAnsi="宋体" w:eastAsia="宋体" w:cs="宋体"/>
                <w:kern w:val="0"/>
                <w:sz w:val="20"/>
                <w:szCs w:val="20"/>
              </w:rPr>
            </w:pPr>
          </w:p>
          <w:p w14:paraId="5EC8713B">
            <w:pPr>
              <w:widowControl/>
              <w:rPr>
                <w:rFonts w:hint="eastAsia" w:ascii="宋体" w:hAnsi="宋体" w:eastAsia="宋体" w:cs="宋体"/>
                <w:kern w:val="0"/>
                <w:sz w:val="20"/>
                <w:szCs w:val="20"/>
              </w:rPr>
            </w:pPr>
          </w:p>
          <w:p w14:paraId="2FB10BCB">
            <w:pPr>
              <w:widowControl/>
              <w:rPr>
                <w:rFonts w:hint="eastAsia" w:ascii="宋体" w:hAnsi="宋体" w:eastAsia="宋体" w:cs="宋体"/>
                <w:kern w:val="0"/>
                <w:sz w:val="20"/>
                <w:szCs w:val="20"/>
              </w:rPr>
            </w:pPr>
          </w:p>
          <w:p w14:paraId="70F399FF">
            <w:pPr>
              <w:widowControl/>
              <w:rPr>
                <w:rFonts w:hint="eastAsia" w:ascii="宋体" w:hAnsi="宋体" w:eastAsia="宋体" w:cs="宋体"/>
                <w:kern w:val="0"/>
                <w:sz w:val="20"/>
                <w:szCs w:val="20"/>
              </w:rPr>
            </w:pPr>
          </w:p>
          <w:p w14:paraId="0C1A111E">
            <w:pPr>
              <w:widowControl/>
              <w:rPr>
                <w:rFonts w:hint="eastAsia" w:ascii="宋体" w:hAnsi="宋体" w:eastAsia="宋体" w:cs="宋体"/>
                <w:kern w:val="0"/>
                <w:sz w:val="20"/>
                <w:szCs w:val="20"/>
              </w:rPr>
            </w:pPr>
          </w:p>
          <w:p w14:paraId="632B21EC">
            <w:pPr>
              <w:widowControl/>
              <w:rPr>
                <w:rFonts w:hint="eastAsia" w:ascii="宋体" w:hAnsi="宋体" w:eastAsia="宋体" w:cs="宋体"/>
                <w:kern w:val="0"/>
                <w:sz w:val="20"/>
                <w:szCs w:val="20"/>
              </w:rPr>
            </w:pPr>
          </w:p>
          <w:p w14:paraId="7338C8A3">
            <w:pPr>
              <w:widowControl/>
              <w:rPr>
                <w:rFonts w:hint="eastAsia" w:ascii="宋体" w:hAnsi="宋体" w:eastAsia="宋体" w:cs="宋体"/>
                <w:kern w:val="0"/>
                <w:sz w:val="20"/>
                <w:szCs w:val="20"/>
              </w:rPr>
            </w:pPr>
          </w:p>
          <w:p w14:paraId="243DFAAC">
            <w:pPr>
              <w:widowControl/>
              <w:rPr>
                <w:rFonts w:hint="eastAsia" w:ascii="宋体" w:hAnsi="宋体" w:eastAsia="宋体" w:cs="宋体"/>
                <w:kern w:val="0"/>
                <w:sz w:val="20"/>
                <w:szCs w:val="20"/>
              </w:rPr>
            </w:pPr>
          </w:p>
          <w:p w14:paraId="2E60DE59">
            <w:pPr>
              <w:widowControl/>
              <w:rPr>
                <w:rFonts w:hint="eastAsia" w:ascii="宋体" w:hAnsi="宋体" w:eastAsia="宋体" w:cs="宋体"/>
                <w:kern w:val="0"/>
                <w:sz w:val="20"/>
                <w:szCs w:val="20"/>
              </w:rPr>
            </w:pPr>
          </w:p>
          <w:p w14:paraId="765F3D45">
            <w:pPr>
              <w:widowControl/>
              <w:rPr>
                <w:rFonts w:hint="eastAsia" w:ascii="宋体" w:hAnsi="宋体" w:eastAsia="宋体" w:cs="宋体"/>
                <w:kern w:val="0"/>
                <w:sz w:val="20"/>
                <w:szCs w:val="20"/>
              </w:rPr>
            </w:pPr>
          </w:p>
          <w:p w14:paraId="3B3405FD">
            <w:pPr>
              <w:widowControl/>
              <w:rPr>
                <w:rFonts w:hint="eastAsia" w:ascii="宋体" w:hAnsi="宋体" w:eastAsia="宋体" w:cs="宋体"/>
                <w:kern w:val="0"/>
                <w:sz w:val="20"/>
                <w:szCs w:val="20"/>
              </w:rPr>
            </w:pPr>
          </w:p>
          <w:p w14:paraId="1AA3F90F">
            <w:pPr>
              <w:widowControl/>
              <w:rPr>
                <w:rFonts w:hint="eastAsia" w:ascii="宋体" w:hAnsi="宋体" w:eastAsia="宋体" w:cs="宋体"/>
                <w:kern w:val="0"/>
                <w:sz w:val="20"/>
                <w:szCs w:val="20"/>
              </w:rPr>
            </w:pPr>
          </w:p>
          <w:p w14:paraId="2B1E48C3">
            <w:pPr>
              <w:widowControl/>
              <w:rPr>
                <w:rFonts w:hint="eastAsia" w:ascii="宋体" w:hAnsi="宋体" w:eastAsia="宋体" w:cs="宋体"/>
                <w:kern w:val="0"/>
                <w:sz w:val="20"/>
                <w:szCs w:val="20"/>
              </w:rPr>
            </w:pPr>
          </w:p>
          <w:p w14:paraId="7841CF29">
            <w:pPr>
              <w:widowControl/>
              <w:rPr>
                <w:rFonts w:hint="eastAsia" w:ascii="宋体" w:hAnsi="宋体" w:eastAsia="宋体" w:cs="宋体"/>
                <w:kern w:val="0"/>
                <w:sz w:val="20"/>
                <w:szCs w:val="20"/>
              </w:rPr>
            </w:pPr>
          </w:p>
          <w:p w14:paraId="65381BD6">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010464CE">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B5DCF2D">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C1F18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F04FA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02F7D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CC5C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2780A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4E8FF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BF18E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3B3653E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10DE31A">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1269CCB">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8F6E7B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23DC2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9B670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04E14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4E703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BCA21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E6802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6FA2230A">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23BD62">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B0DAA32">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3E2BDB">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7FF8D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D1A2E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EDE48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A79E0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9B557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D18E0F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49DA0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0DB20B6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96E09B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9CA318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E90EE">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59987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39F3D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AEBB0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F2F3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CE5504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7108B5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D16BE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76EF56B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E73E7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3C853D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5B3FD8D">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D87B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B27E1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4882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B0665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F0B1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0EF315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518F47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1EFCD62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EF9672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7FFB29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E555110">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EF4B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A46E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62DEA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46BF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1C507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B14D5B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801C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61942B3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E33BAF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FE3DAA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F4FC5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9F61F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1298E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07208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92B2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1B7754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0096E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E2AAD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14E2776A">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69B4AA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E98063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3D3C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C831F8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E9127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7BC09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84794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C36348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D614E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74155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22D4598C">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6204BA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7E528C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CBF70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7739E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A14E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E574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F8140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2C99B5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AEDFC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63D78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071411AF">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AB95C4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3BE915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EF6DB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A9EED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402F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B8DFA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99A6D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86DEE0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E0431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6C0337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588BC2E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86B2E6A">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2F1D6FC">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8C4828C">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922E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4E735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9518B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D42AC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C2F5B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6312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16BF64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27CDE80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83D502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3BE991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6E4B090">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F5CD1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42387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04543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8D99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EFFFD6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1157E9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F48F03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5739E22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602697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657590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DC878">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352956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6DAD65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9505A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7BEF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B3A09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B7871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F795E9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19A8ED39">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AF6D76">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33E39A9">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50F07B7">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38136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E92D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541EA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E1401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1F5E2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60B086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13919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2E3119D8">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49D76B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A7B6F0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CAA56">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F648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16AA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93CD2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1D541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F63F2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E320898">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413B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21275363">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44AC7E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83F3C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F68F1C3">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D7054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2A074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92073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6660F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998BFA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0DA0D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90DF3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4CCF22AC">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4B53DE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325604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778E32">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FBA6A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43B8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03E4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27FC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45573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B71650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8FB1A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5656CA4B">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C9EC4C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EB3DF7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67B9B12">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C2A2C9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A459E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6A217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13C0F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DB4886">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0F4DD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C14372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4E52098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37DA8C6">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16D204FA">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992E8">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A2EC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80EA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6FCC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D167E1">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2B0B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F4107">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3FEE0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27EE39D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521DDB4">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15DA3DAB">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E684F9">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572B5F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28131F">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A43D6E">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99B9B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A00392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420C850">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046341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14:paraId="159053A4">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0AE8110">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A710231">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32722">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F02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6B44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D9C4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B50D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B0195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9924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26068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8E97443">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E5F193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1ADA024">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944920">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DDBD1D">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CCB2E">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21A3CD">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41D01">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E0651C">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8FACD">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r>
      <w:tr w14:paraId="1571901F">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2EF312">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5E2D2A">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30DCF2">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CE5DF2">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0373EF">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7823869">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B3A6C8">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87ED14">
            <w:pPr>
              <w:widowControl/>
              <w:jc w:val="center"/>
              <w:rPr>
                <w:rFonts w:hint="eastAsia" w:ascii="Calibri" w:hAnsi="Calibri" w:eastAsia="宋体" w:cs="Calibri"/>
                <w:kern w:val="0"/>
                <w:sz w:val="24"/>
                <w:szCs w:val="24"/>
                <w:lang w:val="en-US" w:eastAsia="zh-CN"/>
              </w:rPr>
            </w:pPr>
            <w:r>
              <w:rPr>
                <w:rFonts w:hint="eastAsia" w:ascii="Calibri" w:hAnsi="Calibri" w:eastAsia="宋体" w:cs="Calibri"/>
                <w:kern w:val="0"/>
                <w:sz w:val="24"/>
                <w:szCs w:val="24"/>
                <w:lang w:val="en-US" w:eastAsia="zh-CN"/>
              </w:rPr>
              <w:t>0</w:t>
            </w:r>
          </w:p>
        </w:tc>
      </w:tr>
    </w:tbl>
    <w:p w14:paraId="17333448">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E205965">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849E28">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3A4EDE">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56FC6A4C">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55811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F77F9E">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CF5D23">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EC90F4">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B7D167">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A75876">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802363">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168A59D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788B71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B17BCF4">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44C9BFB">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EEE87CF">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17BFADC">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4E0DCF">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392B10">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B0DC0B">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98801B">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14C0D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A0899A">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5180E53">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BF5D0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BF7781">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56B117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2A73AC43">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1C75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0C2F6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0F3894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0C1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4EB35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5858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1B5F5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9313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865F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58C3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77295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0A581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86351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E50E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0E77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07DCC5EF">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042CCE2F">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虽然我们在政府信息公开工作方面取得了一定的成绩，但也存在一些问题和不足。针对这些问题和不足，我们将采取切实有效的措施进行改进和完善。具体措施如下：</w:t>
      </w:r>
    </w:p>
    <w:p w14:paraId="4BD632BB">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是加强制度建设和完善操作规范，进一步优化工作流程和责任分工；二是加大培训力度和提供技术支持保障人员素质和能力提升；三是加强与公众的互动交流及时回应关切切实解决实际问题；四是不断丰富和拓展信息公开的形式和渠道提高信息质量和覆盖面；五是加强监督检查和考核评估确保工作落实到位取得实效。通过这些措施的实施我们将努力提高政府信息公开工作的质量和水平更好地服务人民群众和社会发展。</w:t>
      </w:r>
    </w:p>
    <w:p w14:paraId="7FA865BE">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5EC60FC5">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14:paraId="630B2237">
      <w:pPr>
        <w:pStyle w:val="7"/>
        <w:rPr>
          <w:rFonts w:hint="eastAsia" w:ascii="宋体" w:hAnsi="宋体" w:eastAsia="宋体" w:cs="宋体"/>
          <w:sz w:val="24"/>
          <w:szCs w:val="24"/>
          <w:lang w:eastAsia="zh-CN"/>
        </w:rPr>
      </w:pPr>
    </w:p>
    <w:p w14:paraId="60AC0B41">
      <w:pPr>
        <w:spacing w:line="360" w:lineRule="auto"/>
        <w:jc w:val="right"/>
        <w:rPr>
          <w:rFonts w:hint="eastAsia" w:asciiTheme="minorEastAsia" w:hAnsiTheme="minorEastAsia"/>
          <w:sz w:val="24"/>
          <w:szCs w:val="24"/>
          <w:lang w:eastAsia="zh-CN"/>
        </w:rPr>
      </w:pPr>
    </w:p>
    <w:p w14:paraId="69D3C2F1">
      <w:pPr>
        <w:spacing w:line="360" w:lineRule="auto"/>
        <w:jc w:val="right"/>
        <w:rPr>
          <w:rFonts w:hint="eastAsia" w:asciiTheme="minorEastAsia" w:hAnsiTheme="minorEastAsia"/>
          <w:sz w:val="24"/>
          <w:szCs w:val="24"/>
          <w:lang w:eastAsia="zh-CN"/>
        </w:rPr>
      </w:pPr>
    </w:p>
    <w:p w14:paraId="7B59DA2E">
      <w:pPr>
        <w:spacing w:line="360" w:lineRule="auto"/>
        <w:jc w:val="right"/>
        <w:rPr>
          <w:rFonts w:hint="eastAsia" w:asciiTheme="minorEastAsia" w:hAnsiTheme="minorEastAsia"/>
          <w:sz w:val="24"/>
          <w:szCs w:val="24"/>
          <w:lang w:eastAsia="zh-CN"/>
        </w:rPr>
      </w:pPr>
    </w:p>
    <w:p w14:paraId="1A996FBF">
      <w:pPr>
        <w:spacing w:line="360" w:lineRule="auto"/>
        <w:jc w:val="right"/>
        <w:rPr>
          <w:rFonts w:asciiTheme="minorEastAsia" w:hAnsiTheme="minorEastAsia"/>
          <w:sz w:val="24"/>
          <w:szCs w:val="24"/>
        </w:rPr>
      </w:pPr>
      <w:r>
        <w:rPr>
          <w:rFonts w:hint="eastAsia" w:asciiTheme="minorEastAsia" w:hAnsiTheme="minorEastAsia"/>
          <w:sz w:val="24"/>
          <w:szCs w:val="24"/>
          <w:lang w:eastAsia="zh-CN"/>
        </w:rPr>
        <w:t>平安</w:t>
      </w:r>
      <w:r>
        <w:rPr>
          <w:rFonts w:hint="eastAsia" w:asciiTheme="minorEastAsia" w:hAnsiTheme="minorEastAsia"/>
          <w:sz w:val="24"/>
          <w:szCs w:val="24"/>
        </w:rPr>
        <w:t>镇人民政府</w:t>
      </w:r>
    </w:p>
    <w:p w14:paraId="74BE0C97">
      <w:pPr>
        <w:spacing w:line="360" w:lineRule="auto"/>
        <w:jc w:val="right"/>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31</w:t>
      </w:r>
      <w:r>
        <w:rPr>
          <w:rFonts w:hint="eastAsia" w:asciiTheme="minorEastAsia" w:hAnsiTheme="minorEastAsia"/>
          <w:sz w:val="24"/>
          <w:szCs w:val="24"/>
        </w:rPr>
        <w:t>日</w:t>
      </w:r>
    </w:p>
    <w:p w14:paraId="7C12EDED">
      <w:pPr>
        <w:pStyle w:val="7"/>
        <w:rPr>
          <w:rFonts w:hint="eastAsia" w:ascii="宋体" w:hAnsi="宋体" w:eastAsia="宋体" w:cs="宋体"/>
          <w:sz w:val="24"/>
          <w:szCs w:val="24"/>
          <w:lang w:eastAsia="zh-CN"/>
        </w:rPr>
      </w:pP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7A619781">
        <w:pPr>
          <w:pStyle w:val="3"/>
          <w:jc w:val="center"/>
        </w:pPr>
        <w:r>
          <w:fldChar w:fldCharType="begin"/>
        </w:r>
        <w:r>
          <w:instrText xml:space="preserve">PAGE   \* MERGEFORMAT</w:instrText>
        </w:r>
        <w:r>
          <w:fldChar w:fldCharType="separate"/>
        </w:r>
        <w:r>
          <w:rPr>
            <w:lang w:val="zh-CN"/>
          </w:rPr>
          <w:t>1</w:t>
        </w:r>
        <w:r>
          <w:fldChar w:fldCharType="end"/>
        </w:r>
      </w:p>
    </w:sdtContent>
  </w:sdt>
  <w:p w14:paraId="00B2240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zIxYmNjYjhhNTkxYzE4YTA2MDg3YmZhZWM0Zjg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4D205A8"/>
    <w:rsid w:val="06A434A5"/>
    <w:rsid w:val="0983332C"/>
    <w:rsid w:val="0D1C7438"/>
    <w:rsid w:val="0EF95E3E"/>
    <w:rsid w:val="0F841BAC"/>
    <w:rsid w:val="10D94ED9"/>
    <w:rsid w:val="1102547E"/>
    <w:rsid w:val="12AB7BEB"/>
    <w:rsid w:val="13916BB7"/>
    <w:rsid w:val="16F67B0A"/>
    <w:rsid w:val="18DE0B8B"/>
    <w:rsid w:val="1D326A70"/>
    <w:rsid w:val="1D352737"/>
    <w:rsid w:val="1F4E26E0"/>
    <w:rsid w:val="21463587"/>
    <w:rsid w:val="227930C6"/>
    <w:rsid w:val="22804455"/>
    <w:rsid w:val="23294AEC"/>
    <w:rsid w:val="243F343F"/>
    <w:rsid w:val="278969DD"/>
    <w:rsid w:val="2AFE7BEA"/>
    <w:rsid w:val="2B25609B"/>
    <w:rsid w:val="2BC71311"/>
    <w:rsid w:val="2BEE00D4"/>
    <w:rsid w:val="2F560859"/>
    <w:rsid w:val="2F89752F"/>
    <w:rsid w:val="2FAD0853"/>
    <w:rsid w:val="31C902D1"/>
    <w:rsid w:val="33E90CDE"/>
    <w:rsid w:val="345E7490"/>
    <w:rsid w:val="34707FB0"/>
    <w:rsid w:val="34C57104"/>
    <w:rsid w:val="393E5745"/>
    <w:rsid w:val="39677CC5"/>
    <w:rsid w:val="3A48169C"/>
    <w:rsid w:val="3AC70A1B"/>
    <w:rsid w:val="3B291E3A"/>
    <w:rsid w:val="3BA453BA"/>
    <w:rsid w:val="3D133DE3"/>
    <w:rsid w:val="3E620C74"/>
    <w:rsid w:val="3ED76D58"/>
    <w:rsid w:val="400E44FB"/>
    <w:rsid w:val="41126768"/>
    <w:rsid w:val="426D00FA"/>
    <w:rsid w:val="450C3AC5"/>
    <w:rsid w:val="49181DCF"/>
    <w:rsid w:val="4A02676F"/>
    <w:rsid w:val="4BCC7E94"/>
    <w:rsid w:val="4D335236"/>
    <w:rsid w:val="4EDD6607"/>
    <w:rsid w:val="4F2C63D7"/>
    <w:rsid w:val="503C735D"/>
    <w:rsid w:val="51D907C9"/>
    <w:rsid w:val="524F43BC"/>
    <w:rsid w:val="528A0854"/>
    <w:rsid w:val="539D6365"/>
    <w:rsid w:val="56B07488"/>
    <w:rsid w:val="57476D14"/>
    <w:rsid w:val="5EB629D1"/>
    <w:rsid w:val="601C4AB5"/>
    <w:rsid w:val="60510E15"/>
    <w:rsid w:val="608B5AEC"/>
    <w:rsid w:val="61382CF4"/>
    <w:rsid w:val="61550575"/>
    <w:rsid w:val="63397AC6"/>
    <w:rsid w:val="63A63014"/>
    <w:rsid w:val="65E47E23"/>
    <w:rsid w:val="68EE3DB7"/>
    <w:rsid w:val="69912B2A"/>
    <w:rsid w:val="6C042FCD"/>
    <w:rsid w:val="6DA66DF4"/>
    <w:rsid w:val="6E3851B0"/>
    <w:rsid w:val="6E973CCA"/>
    <w:rsid w:val="6F5630A7"/>
    <w:rsid w:val="6F9E7295"/>
    <w:rsid w:val="6FB026B2"/>
    <w:rsid w:val="70A64653"/>
    <w:rsid w:val="70E7254E"/>
    <w:rsid w:val="71917722"/>
    <w:rsid w:val="72544ACF"/>
    <w:rsid w:val="74484734"/>
    <w:rsid w:val="7863107C"/>
    <w:rsid w:val="78E73A5B"/>
    <w:rsid w:val="792539DA"/>
    <w:rsid w:val="79F53FD4"/>
    <w:rsid w:val="7CA659DB"/>
    <w:rsid w:val="7D2E072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autoRedefine/>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2330</Words>
  <Characters>2400</Characters>
  <Lines>10</Lines>
  <Paragraphs>2</Paragraphs>
  <TotalTime>19</TotalTime>
  <ScaleCrop>false</ScaleCrop>
  <LinksUpToDate>false</LinksUpToDate>
  <CharactersWithSpaces>2400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王浩然</cp:lastModifiedBy>
  <cp:lastPrinted>2021-01-14T07:20:00Z</cp:lastPrinted>
  <dcterms:modified xsi:type="dcterms:W3CDTF">2025-12-29T06:01:43Z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5AF7C58926204750B2098D689CFF5DF4_13</vt:lpwstr>
  </property>
  <property fmtid="{D5CDD505-2E9C-101B-9397-08002B2CF9AE}" pid="4" name="KSOTemplateDocerSaveRecord">
    <vt:lpwstr>eyJoZGlkIjoiMTJlOTBjNDQ1MTI3ZmRjODY2MTljMGQyNzBiZjRmNzQiLCJ1c2VySWQiOiI3OTQ4MTYzODYifQ==</vt:lpwstr>
  </property>
</Properties>
</file>