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FEE05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450" w:lineRule="atLeast"/>
        <w:ind w:left="0" w:right="0"/>
        <w:jc w:val="center"/>
        <w:rPr>
          <w:rFonts w:hint="eastAsia" w:ascii="宋体" w:hAnsi="宋体" w:eastAsia="宋体" w:cs="宋体"/>
          <w:b/>
          <w:bCs/>
          <w:sz w:val="36"/>
          <w:szCs w:val="36"/>
        </w:rPr>
      </w:pPr>
      <w:bookmarkStart w:id="0" w:name="_GoBack"/>
      <w:r>
        <w:rPr>
          <w:rFonts w:ascii="微软雅黑" w:hAnsi="微软雅黑" w:eastAsia="微软雅黑" w:cs="微软雅黑"/>
          <w:b/>
          <w:bCs/>
          <w:i w:val="0"/>
          <w:iCs w:val="0"/>
          <w:caps w:val="0"/>
          <w:color w:val="394351"/>
          <w:spacing w:val="0"/>
          <w:sz w:val="48"/>
          <w:szCs w:val="48"/>
          <w:shd w:val="clear" w:fill="FFFFFF"/>
        </w:rPr>
        <w:t>舒兰市北城街道</w:t>
      </w:r>
      <w:r>
        <w:rPr>
          <w:rFonts w:hint="eastAsia" w:ascii="微软雅黑" w:hAnsi="微软雅黑" w:eastAsia="微软雅黑" w:cs="微软雅黑"/>
          <w:b/>
          <w:bCs/>
          <w:i w:val="0"/>
          <w:iCs w:val="0"/>
          <w:caps w:val="0"/>
          <w:color w:val="394351"/>
          <w:spacing w:val="0"/>
          <w:sz w:val="48"/>
          <w:szCs w:val="48"/>
          <w:shd w:val="clear" w:fill="FFFFFF"/>
        </w:rPr>
        <w:t>202</w:t>
      </w:r>
      <w:r>
        <w:rPr>
          <w:rFonts w:hint="eastAsia" w:ascii="微软雅黑" w:hAnsi="微软雅黑" w:eastAsia="微软雅黑" w:cs="微软雅黑"/>
          <w:b/>
          <w:bCs/>
          <w:i w:val="0"/>
          <w:iCs w:val="0"/>
          <w:caps w:val="0"/>
          <w:color w:val="394351"/>
          <w:spacing w:val="0"/>
          <w:sz w:val="48"/>
          <w:szCs w:val="48"/>
          <w:shd w:val="clear" w:fill="FFFFFF"/>
          <w:lang w:val="en-US" w:eastAsia="zh-CN"/>
        </w:rPr>
        <w:t>5</w:t>
      </w:r>
      <w:r>
        <w:rPr>
          <w:rFonts w:hint="eastAsia" w:ascii="微软雅黑" w:hAnsi="微软雅黑" w:eastAsia="微软雅黑" w:cs="微软雅黑"/>
          <w:b/>
          <w:bCs/>
          <w:i w:val="0"/>
          <w:iCs w:val="0"/>
          <w:caps w:val="0"/>
          <w:color w:val="394351"/>
          <w:spacing w:val="0"/>
          <w:sz w:val="48"/>
          <w:szCs w:val="48"/>
          <w:shd w:val="clear" w:fill="FFFFFF"/>
        </w:rPr>
        <w:t>年政府信息公开工作年度报告</w:t>
      </w:r>
    </w:p>
    <w:bookmarkEnd w:id="0"/>
    <w:p w14:paraId="6B358A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center"/>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舒兰市北城街道2025年政府信息公开工作年度报告</w:t>
      </w:r>
    </w:p>
    <w:p w14:paraId="5AD15F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eastAsia" w:ascii="宋体" w:hAnsi="宋体" w:eastAsia="宋体" w:cs="宋体"/>
          <w:b w:val="0"/>
          <w:bCs w:val="0"/>
          <w:i w:val="0"/>
          <w:iCs w:val="0"/>
          <w:caps w:val="0"/>
          <w:color w:val="000000"/>
          <w:spacing w:val="0"/>
          <w:kern w:val="0"/>
          <w:sz w:val="24"/>
          <w:szCs w:val="24"/>
          <w:shd w:val="clear" w:fill="FFFFFF"/>
          <w:lang w:val="en-US" w:eastAsia="zh-CN" w:bidi="ar"/>
        </w:rPr>
      </w:pPr>
    </w:p>
    <w:p w14:paraId="2E4BD7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default" w:ascii="Calibri" w:hAnsi="Calibri" w:cs="Calibri"/>
          <w:color w:val="00000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根据《中华人民共和国政府信息公开条例》规定，根据《中华人民共和国政府信息公开条例》和《吉林省人民政府办公厅关于做好政府信息公开工作年度报告编制发布有关事项的通知》（吉政厅函[2021]20号）要求，现公布北城街道编制2025年政府信息公开年度报告（以下简称《年报》）。本年报由总体情况、主动公开政府信息情况、收到和处理政府信息公开申请情况、政府信息公开行政复议、行政诉讼情况、存在的主要问题及改进情况、其他需要报告的事项等六部分组成。报告中所列数据的统计时限为2025年1月1日起至2025年12月31日止。欢迎社会各界进行监督、提出意见，欢迎广大机关、企事业单位、科研院所和人民群众参阅使用。如对本年报有疑问、意见和建议，请联系舒兰市北城街道办事处，地址：舒兰市舒兰大街3280号。邮编：132600，电话：0432-68225265。</w:t>
      </w:r>
    </w:p>
    <w:p w14:paraId="6A3BAD94">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6DD1D8BE">
      <w:pPr>
        <w:ind w:firstLine="480" w:firstLineChars="200"/>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2025年，街道认真贯彻落实《中华人民共和国政府信息公开条例》，切实落实各项工作机制，不断完善各项制度，夯实主动公开工作基础，规范各项公开办理流程，提升信息公开平台建设，加大监督保障力度，全力推进政府信息公开工作扎实有效开展。</w:t>
      </w:r>
    </w:p>
    <w:p w14:paraId="5873B1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default" w:ascii="Calibri" w:hAnsi="Calibri" w:cs="Calibri"/>
          <w:color w:val="000000"/>
          <w:sz w:val="24"/>
          <w:szCs w:val="24"/>
        </w:rPr>
      </w:pPr>
      <w:r>
        <w:rPr>
          <w:rFonts w:hint="eastAsia" w:ascii="楷体" w:hAnsi="楷体" w:eastAsia="楷体" w:cs="楷体"/>
          <w:sz w:val="24"/>
          <w:szCs w:val="24"/>
        </w:rPr>
        <w:t>（一）组织推动全省政府信息公开工作。</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推进政府信息公开是贯彻落实《中华人民共和国政府信息公开条例》的重要举措，是深入推行政务公开，建设人民满意的服务型政府的一项重要工作。街道领导高度重视，把政府信息公开工作作为一项重要工作内容，把加强学习和宣传政府信息公开工作精神作为顺利推进工作的保障，不断提升对街道建设和服务群众的工作意识。</w:t>
      </w:r>
    </w:p>
    <w:p w14:paraId="6C618D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default" w:ascii="Calibri" w:hAnsi="Calibri" w:cs="Calibri"/>
          <w:color w:val="000000"/>
          <w:sz w:val="24"/>
          <w:szCs w:val="24"/>
        </w:rPr>
      </w:pPr>
      <w:r>
        <w:rPr>
          <w:rFonts w:hint="eastAsia" w:ascii="楷体" w:hAnsi="楷体" w:eastAsia="楷体" w:cs="楷体"/>
          <w:sz w:val="24"/>
          <w:szCs w:val="24"/>
        </w:rPr>
        <w:t>（二）积极推动政府信息主动公开。</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按照政府信息公开要求，街道积极主动在政府信息公开网站、微信公众号等公开有效信息，为正常开展工作提供有利保障，确保政府信息公开工作稳步推进。</w:t>
      </w:r>
    </w:p>
    <w:p w14:paraId="28397C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ascii="宋体" w:hAnsi="宋体" w:eastAsia="宋体" w:cs="宋体"/>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2025年，街道通过政府信息公开网主动公开信息7条，利用板报、公开栏、媒体等形式公开信息26条。</w:t>
      </w:r>
    </w:p>
    <w:p w14:paraId="785F8E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default" w:ascii="Calibri" w:hAnsi="Calibri" w:cs="Calibri"/>
          <w:color w:val="000000"/>
          <w:sz w:val="24"/>
          <w:szCs w:val="24"/>
        </w:rPr>
      </w:pPr>
      <w:r>
        <w:rPr>
          <w:rFonts w:hint="eastAsia" w:ascii="楷体" w:hAnsi="楷体" w:eastAsia="楷体" w:cs="楷体"/>
          <w:sz w:val="24"/>
          <w:szCs w:val="24"/>
        </w:rPr>
        <w:t>（三）认真规范处理依申请公开。</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2025年，街道受理依申公开0件，上年结转0件，办件0件，结转下年度继续办理0件。</w:t>
      </w:r>
    </w:p>
    <w:p w14:paraId="12BE34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default" w:ascii="Calibri" w:hAnsi="Calibri" w:cs="Calibri"/>
          <w:color w:val="000000"/>
          <w:sz w:val="24"/>
          <w:szCs w:val="24"/>
        </w:rPr>
      </w:pPr>
      <w:r>
        <w:rPr>
          <w:rFonts w:hint="eastAsia" w:ascii="楷体" w:hAnsi="楷体" w:eastAsia="楷体" w:cs="楷体"/>
          <w:sz w:val="24"/>
          <w:szCs w:val="24"/>
        </w:rPr>
        <w:t>（四）不断强化政府信息公开平台内容保障。</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街道建立健全政府信息主动公开工作机制和政府信息公开申请受理机制，规范和完善工作流程，明确申请受理、审查、处理、答复等各个环节。采用多种形式，拓宽多种形式公开政府信息，确保群众及时准确掌握政府相关政策及工作动态。</w:t>
      </w:r>
    </w:p>
    <w:p w14:paraId="69CD328B">
      <w:pPr>
        <w:ind w:firstLine="480" w:firstLineChars="200"/>
        <w:rPr>
          <w:rFonts w:ascii="宋体" w:hAnsi="宋体" w:eastAsia="宋体" w:cs="宋体"/>
          <w:sz w:val="24"/>
          <w:szCs w:val="24"/>
        </w:rPr>
      </w:pPr>
      <w:r>
        <w:rPr>
          <w:rFonts w:hint="eastAsia" w:ascii="楷体" w:hAnsi="楷体" w:eastAsia="楷体" w:cs="楷体"/>
          <w:sz w:val="24"/>
          <w:szCs w:val="24"/>
        </w:rPr>
        <w:t>（五）全力做好宣传培训评估考核等基础工作。</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为更好地开展政府信息公开工作，街道积极安排负责政府信息公开工作的人员参加业务培训，明确了职责，程序，公开方式和时限要求等，严格执行保密制度及责任追究制度，不断提高相关人员的工作能力和业务水平，为正常开展工作提供有利保障。</w:t>
      </w:r>
    </w:p>
    <w:p w14:paraId="22501D4D">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6"/>
        <w:tblW w:w="9014" w:type="dxa"/>
        <w:jc w:val="center"/>
        <w:tblLayout w:type="fixed"/>
        <w:tblCellMar>
          <w:top w:w="0" w:type="dxa"/>
          <w:left w:w="0" w:type="dxa"/>
          <w:bottom w:w="0" w:type="dxa"/>
          <w:right w:w="0" w:type="dxa"/>
        </w:tblCellMar>
      </w:tblPr>
      <w:tblGrid>
        <w:gridCol w:w="2461"/>
        <w:gridCol w:w="2184"/>
        <w:gridCol w:w="2184"/>
        <w:gridCol w:w="2185"/>
      </w:tblGrid>
      <w:tr w14:paraId="61FA1AE2">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FE5CFB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22F74B9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DA5A72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642A5D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610F2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A1E17B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6B529C2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C5F22C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8E82EA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F384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CEE755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791616B">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1A2696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5E95B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3FE5A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D74BC6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F3B9298">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16E7CF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7886AE8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90902F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783D0F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1E6A94D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A1B147">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D0C7000">
            <w:pPr>
              <w:widowControl/>
              <w:jc w:val="center"/>
              <w:rPr>
                <w:rFonts w:ascii="宋体" w:hAnsi="宋体" w:eastAsia="宋体" w:cs="宋体"/>
                <w:kern w:val="0"/>
                <w:sz w:val="20"/>
                <w:szCs w:val="20"/>
              </w:rPr>
            </w:pPr>
          </w:p>
        </w:tc>
      </w:tr>
      <w:tr w14:paraId="604C7301">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4E8F23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23EC723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44B2A7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DC25C4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4A8AB0FF">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A949E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AB03CE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FC1ECE9">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D848225">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96422B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A3B8AF5">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267FA2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416E67F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6B3F2F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928B96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0F37F33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BB34317">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EA1C0D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5CB25FD6">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6"/>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102978C5">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43CA44">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B4767F">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4AE0EB02">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71876C19">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20F07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2061D2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431A0127">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10A806">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A1D865">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4CFB237A">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DA811D4">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5541999E">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146504">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7687BD">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70701A">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20FA92">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C9B39C">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6DB2D148">
            <w:pPr>
              <w:widowControl/>
              <w:jc w:val="left"/>
              <w:rPr>
                <w:rFonts w:ascii="宋体" w:hAnsi="宋体" w:eastAsia="宋体" w:cs="宋体"/>
                <w:kern w:val="0"/>
                <w:sz w:val="24"/>
                <w:szCs w:val="24"/>
              </w:rPr>
            </w:pPr>
          </w:p>
        </w:tc>
      </w:tr>
      <w:tr w14:paraId="23AAED77">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7033A1">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2800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BF279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FDBAC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FB74A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B9F282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126D2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73E72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EB83FCD">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49A91E">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BC23A58">
            <w:pPr>
              <w:widowControl/>
              <w:jc w:val="center"/>
              <w:rPr>
                <w:rFonts w:ascii="宋体" w:hAnsi="宋体" w:eastAsia="宋体" w:cs="宋体"/>
                <w:kern w:val="0"/>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41B40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936F9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A7071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EE30E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114C5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6CF9B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4D704AE">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07DBB3">
            <w:pPr>
              <w:widowControl/>
              <w:rPr>
                <w:rFonts w:hint="eastAsia" w:ascii="宋体" w:hAnsi="宋体" w:eastAsia="宋体" w:cs="宋体"/>
                <w:kern w:val="0"/>
                <w:sz w:val="20"/>
                <w:szCs w:val="20"/>
              </w:rPr>
            </w:pPr>
          </w:p>
          <w:p w14:paraId="7A31FAEF">
            <w:pPr>
              <w:widowControl/>
              <w:rPr>
                <w:rFonts w:hint="eastAsia" w:ascii="宋体" w:hAnsi="宋体" w:eastAsia="宋体" w:cs="宋体"/>
                <w:kern w:val="0"/>
                <w:sz w:val="20"/>
                <w:szCs w:val="20"/>
              </w:rPr>
            </w:pPr>
          </w:p>
          <w:p w14:paraId="560EBB20">
            <w:pPr>
              <w:widowControl/>
              <w:rPr>
                <w:rFonts w:hint="eastAsia" w:ascii="宋体" w:hAnsi="宋体" w:eastAsia="宋体" w:cs="宋体"/>
                <w:kern w:val="0"/>
                <w:sz w:val="20"/>
                <w:szCs w:val="20"/>
              </w:rPr>
            </w:pPr>
          </w:p>
          <w:p w14:paraId="634FA8DF">
            <w:pPr>
              <w:widowControl/>
              <w:rPr>
                <w:rFonts w:hint="eastAsia" w:ascii="宋体" w:hAnsi="宋体" w:eastAsia="宋体" w:cs="宋体"/>
                <w:kern w:val="0"/>
                <w:sz w:val="20"/>
                <w:szCs w:val="20"/>
              </w:rPr>
            </w:pPr>
          </w:p>
          <w:p w14:paraId="098F8F32">
            <w:pPr>
              <w:widowControl/>
              <w:rPr>
                <w:rFonts w:hint="eastAsia" w:ascii="宋体" w:hAnsi="宋体" w:eastAsia="宋体" w:cs="宋体"/>
                <w:kern w:val="0"/>
                <w:sz w:val="20"/>
                <w:szCs w:val="20"/>
              </w:rPr>
            </w:pPr>
          </w:p>
          <w:p w14:paraId="4F67F4CF">
            <w:pPr>
              <w:widowControl/>
              <w:rPr>
                <w:rFonts w:hint="eastAsia" w:ascii="宋体" w:hAnsi="宋体" w:eastAsia="宋体" w:cs="宋体"/>
                <w:kern w:val="0"/>
                <w:sz w:val="20"/>
                <w:szCs w:val="20"/>
              </w:rPr>
            </w:pPr>
          </w:p>
          <w:p w14:paraId="72D3E6F9">
            <w:pPr>
              <w:widowControl/>
              <w:rPr>
                <w:rFonts w:hint="eastAsia" w:ascii="宋体" w:hAnsi="宋体" w:eastAsia="宋体" w:cs="宋体"/>
                <w:kern w:val="0"/>
                <w:sz w:val="20"/>
                <w:szCs w:val="20"/>
              </w:rPr>
            </w:pPr>
          </w:p>
          <w:p w14:paraId="64CD8695">
            <w:pPr>
              <w:widowControl/>
              <w:rPr>
                <w:rFonts w:hint="eastAsia" w:ascii="宋体" w:hAnsi="宋体" w:eastAsia="宋体" w:cs="宋体"/>
                <w:kern w:val="0"/>
                <w:sz w:val="20"/>
                <w:szCs w:val="20"/>
              </w:rPr>
            </w:pPr>
          </w:p>
          <w:p w14:paraId="23FC5EEF">
            <w:pPr>
              <w:widowControl/>
              <w:rPr>
                <w:rFonts w:hint="eastAsia" w:ascii="宋体" w:hAnsi="宋体" w:eastAsia="宋体" w:cs="宋体"/>
                <w:kern w:val="0"/>
                <w:sz w:val="20"/>
                <w:szCs w:val="20"/>
              </w:rPr>
            </w:pPr>
          </w:p>
          <w:p w14:paraId="783D2740">
            <w:pPr>
              <w:widowControl/>
              <w:rPr>
                <w:rFonts w:hint="eastAsia" w:ascii="宋体" w:hAnsi="宋体" w:eastAsia="宋体" w:cs="宋体"/>
                <w:kern w:val="0"/>
                <w:sz w:val="20"/>
                <w:szCs w:val="20"/>
              </w:rPr>
            </w:pPr>
          </w:p>
          <w:p w14:paraId="38BEE4F9">
            <w:pPr>
              <w:widowControl/>
              <w:rPr>
                <w:rFonts w:hint="eastAsia" w:ascii="宋体" w:hAnsi="宋体" w:eastAsia="宋体" w:cs="宋体"/>
                <w:kern w:val="0"/>
                <w:sz w:val="20"/>
                <w:szCs w:val="20"/>
              </w:rPr>
            </w:pPr>
          </w:p>
          <w:p w14:paraId="3643B30B">
            <w:pPr>
              <w:widowControl/>
              <w:rPr>
                <w:rFonts w:hint="eastAsia" w:ascii="宋体" w:hAnsi="宋体" w:eastAsia="宋体" w:cs="宋体"/>
                <w:kern w:val="0"/>
                <w:sz w:val="20"/>
                <w:szCs w:val="20"/>
              </w:rPr>
            </w:pPr>
          </w:p>
          <w:p w14:paraId="2092A740">
            <w:pPr>
              <w:widowControl/>
              <w:rPr>
                <w:rFonts w:hint="eastAsia" w:ascii="宋体" w:hAnsi="宋体" w:eastAsia="宋体" w:cs="宋体"/>
                <w:kern w:val="0"/>
                <w:sz w:val="20"/>
                <w:szCs w:val="20"/>
              </w:rPr>
            </w:pPr>
          </w:p>
          <w:p w14:paraId="7BC9B778">
            <w:pPr>
              <w:widowControl/>
              <w:rPr>
                <w:rFonts w:hint="eastAsia" w:ascii="宋体" w:hAnsi="宋体" w:eastAsia="宋体" w:cs="宋体"/>
                <w:kern w:val="0"/>
                <w:sz w:val="20"/>
                <w:szCs w:val="20"/>
              </w:rPr>
            </w:pPr>
          </w:p>
          <w:p w14:paraId="32D9396F">
            <w:pPr>
              <w:widowControl/>
              <w:rPr>
                <w:rFonts w:hint="eastAsia" w:ascii="宋体" w:hAnsi="宋体" w:eastAsia="宋体" w:cs="宋体"/>
                <w:kern w:val="0"/>
                <w:sz w:val="20"/>
                <w:szCs w:val="20"/>
              </w:rPr>
            </w:pPr>
          </w:p>
          <w:p w14:paraId="331B606A">
            <w:pPr>
              <w:widowControl/>
              <w:rPr>
                <w:rFonts w:hint="eastAsia" w:ascii="宋体" w:hAnsi="宋体" w:eastAsia="宋体" w:cs="宋体"/>
                <w:kern w:val="0"/>
                <w:sz w:val="20"/>
                <w:szCs w:val="20"/>
              </w:rPr>
            </w:pPr>
          </w:p>
          <w:p w14:paraId="0CB0E702">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640146D7">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EC27194">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3FE36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C36FA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ECA2F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AC7C2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1163C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0D36F2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A9989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780FE9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D634F73">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854990C">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7F6694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44C32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11022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9D7CE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0DCF0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F79C4E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F9BDB1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8B8D08C">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5D8132B">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7AFF8FA">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2CBD6043">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0BC5E365">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254FF3AA">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131ED7E1">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2AF230A1">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51B2A31E">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073D635C">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8ED212">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940D1A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9F37D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78010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007F1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85606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8C2C19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A2A3A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066F32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D80EDD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610BA3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FB34D8F">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C216C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E41A3C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D3EB4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EC10A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5C30D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12E7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589D84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4B3DE5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284C67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0A560B9">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55BCBE6">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8D4B4B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91356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2F59E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15FC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9E57E0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CB6CA1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CDC95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DF01C05">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048AF12">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D13337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AF9F441">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C290FC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E1EED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FE78C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AF1F0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220B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E7364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8AF131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07AC98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B74AC6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57A548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75BAB">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2DFD2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45F90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68B07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BB64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145E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1593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C5E72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E0463A4">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2A0F07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2E0853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B59E846">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AB43A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D74D6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06DAD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11CC0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8E52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9E2852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34BC0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3E1CDD1">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53B3AE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9AC41B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D20330">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6FF36A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35DC2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0569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24192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381E30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AAD9F8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A65BF3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F9F6632">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C7E6F4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E3D738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599FB5B">
            <w:pPr>
              <w:widowControl/>
              <w:jc w:val="left"/>
              <w:rPr>
                <w:rFonts w:asciiTheme="minorEastAsia" w:hAnsiTheme="minorEastAsia" w:cstheme="minorEastAsia"/>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A6746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03C7A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07022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753EA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6FBDF1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B764A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6DB492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9A1D6C8">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CB44822">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1B10591">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50CB9457">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55FB74FA">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904F984">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6742F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BDD5C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FEF8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D05E9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DBC34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6C084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4ED254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D283C9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F3E8B1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9B3C1D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A88FC">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243823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62919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7EE59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4797B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C17D9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8D202D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9F87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773FB5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458D3D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CA8915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42955E5">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5F9656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7AC54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AB4EC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9A733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B27F5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FB261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AB949C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04850E2">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D64C1FA">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9F2C42C">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660E7770">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18C93FE9">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3D544CEF">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45E3D512">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BF2558">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7A89D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9056E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FFF59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C934B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A468DC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96F563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78494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0F93A34">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3AB84D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C85F1C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BA9F285">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CFA501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A738B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352A2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01575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75E49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ADD63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E683B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30CC9B3B">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3A7E80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10FEE44">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CDE6C69">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CFC7AE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BD6A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862D9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C7AA6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0F28EB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007327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6B004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2482B16D">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B9F6C4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456754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2771BA0">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BE4CF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F7B0A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18C52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EE727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37A3E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C99F4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80D7F5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1A8DA948">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7EAEED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2D0B68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A863889">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4F5C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96D19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0C64E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0BD9E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D187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7218EB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413C1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69266172">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362C70E">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0DE9BFBE">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222A2244">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p w14:paraId="3D61FDF9">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406BCD7">
            <w:pPr>
              <w:widowControl/>
              <w:jc w:val="left"/>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FC05DE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6F640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DDC6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E25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81EE3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D5453E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44A1BE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AF0C994">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1569C9F">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7AFD8508">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046D9E7">
            <w:pPr>
              <w:widowControl/>
              <w:jc w:val="left"/>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BF4A8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4CBDF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A738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928392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849C59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78366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C1707B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80A9A94">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ECBDECB">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6A36EBAC">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FBB1BC0">
            <w:pPr>
              <w:widowControl/>
              <w:jc w:val="left"/>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DA7FA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41B45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12A4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37DA6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D360D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0D4AB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F7C883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030BBD1">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B982D61">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E6F2264">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2B1B31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613E2E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BE02B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6DE93E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8FC85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E6E82D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1337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63AC077C">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3016B3">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6443F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0B2AE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BB922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A6342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331F40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10D9E4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FEB92F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bl>
    <w:p w14:paraId="2C975780">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99C562B">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F2E203">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666B17">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52554D0F">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27D68B">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BDE2DEF">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19272A">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AD12FF">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D06B1A">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CC538B">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348708">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2D6F165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EB4477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1BAAE26">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51D4077">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3AB113C">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3209D885">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886350">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B1EAD9">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B0E62F">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0B90A2">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D4245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51FF17">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48B908">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66F0D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FEF149">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4C30E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49175FD3">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23A0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2C10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F83F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3A7A1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7C439BE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1D0CC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EEFB9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D9075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1552C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0032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FDF4E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E0C11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3CCFD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65424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7D199587">
            <w:pPr>
              <w:widowControl/>
              <w:jc w:val="center"/>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r>
    </w:tbl>
    <w:p w14:paraId="0A912A64">
      <w:pPr>
        <w:ind w:firstLine="482" w:firstLineChars="200"/>
        <w:rPr>
          <w:rFonts w:ascii="宋体" w:hAnsi="宋体" w:eastAsia="宋体" w:cs="宋体"/>
          <w:sz w:val="24"/>
          <w:szCs w:val="24"/>
        </w:rPr>
      </w:pPr>
      <w:r>
        <w:rPr>
          <w:rFonts w:hint="eastAsia" w:ascii="宋体" w:hAnsi="宋体" w:eastAsia="宋体" w:cs="宋体"/>
          <w:b/>
          <w:bCs/>
          <w:sz w:val="24"/>
          <w:szCs w:val="24"/>
        </w:rPr>
        <w:t>五、存在的主要问题及改进情况</w:t>
      </w:r>
    </w:p>
    <w:p w14:paraId="3D6F53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default" w:ascii="Calibri" w:hAnsi="Calibri" w:cs="Calibri"/>
          <w:color w:val="00000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一）存在的主要问题。一是由于信息公开工作人员更换，对信息公开平台的操作流程熟悉度还不够，业务水平有待进一步提高；二是主动公开的信息多数为政策法规、政府文件及工作动态信息，与群众的需求及上级部门的要求还存在一定差距。</w:t>
      </w:r>
    </w:p>
    <w:p w14:paraId="4913A3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jc w:val="left"/>
        <w:rPr>
          <w:rFonts w:hint="default" w:ascii="Calibri" w:hAnsi="Calibri" w:cs="Calibri"/>
          <w:color w:val="00000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二）整改措施。一是继续加强政府信息公开工作人员的业务培训，提高工作人员的系统操作能力；二是丰富信息公开内容，不断提高街道信息公开工作的水平和质量，注重对群众需要的内容进行收集、梳理、汇总，及时做好群众需求信息公开工作。</w:t>
      </w:r>
    </w:p>
    <w:p w14:paraId="0B0E047F">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4D41CBD5">
      <w:pPr>
        <w:ind w:firstLine="480" w:firstLineChars="200"/>
        <w:rPr>
          <w:rFonts w:ascii="宋体" w:hAnsi="宋体" w:eastAsia="宋体" w:cs="宋体"/>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无其他需要报告的事项。</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1DECBEA3">
        <w:pPr>
          <w:pStyle w:val="4"/>
          <w:jc w:val="center"/>
        </w:pPr>
        <w:r>
          <w:fldChar w:fldCharType="begin"/>
        </w:r>
        <w:r>
          <w:instrText xml:space="preserve">PAGE   \* MERGEFORMAT</w:instrText>
        </w:r>
        <w:r>
          <w:fldChar w:fldCharType="separate"/>
        </w:r>
        <w:r>
          <w:rPr>
            <w:lang w:val="zh-CN"/>
          </w:rPr>
          <w:t>1</w:t>
        </w:r>
        <w:r>
          <w:fldChar w:fldCharType="end"/>
        </w:r>
      </w:p>
    </w:sdtContent>
  </w:sdt>
  <w:p w14:paraId="09F9109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D326A70"/>
    <w:rsid w:val="1F4E26E0"/>
    <w:rsid w:val="21463587"/>
    <w:rsid w:val="243F343F"/>
    <w:rsid w:val="24FD377C"/>
    <w:rsid w:val="2AFE7BEA"/>
    <w:rsid w:val="2B25609B"/>
    <w:rsid w:val="2BC71311"/>
    <w:rsid w:val="2F560859"/>
    <w:rsid w:val="31C902D1"/>
    <w:rsid w:val="345E7490"/>
    <w:rsid w:val="34707FB0"/>
    <w:rsid w:val="36F75B53"/>
    <w:rsid w:val="393E5745"/>
    <w:rsid w:val="3B291E3A"/>
    <w:rsid w:val="3BA453BA"/>
    <w:rsid w:val="3E620C74"/>
    <w:rsid w:val="3ED76D58"/>
    <w:rsid w:val="400E44FB"/>
    <w:rsid w:val="450C3AC5"/>
    <w:rsid w:val="49181DCF"/>
    <w:rsid w:val="4A02676F"/>
    <w:rsid w:val="4BCC7E94"/>
    <w:rsid w:val="51D907C9"/>
    <w:rsid w:val="524F43BC"/>
    <w:rsid w:val="56B07488"/>
    <w:rsid w:val="608B5AEC"/>
    <w:rsid w:val="61382CF4"/>
    <w:rsid w:val="68EE3DB7"/>
    <w:rsid w:val="69912B2A"/>
    <w:rsid w:val="6DA66DF4"/>
    <w:rsid w:val="6FB026B2"/>
    <w:rsid w:val="70E7254E"/>
    <w:rsid w:val="71917722"/>
    <w:rsid w:val="72544ACF"/>
    <w:rsid w:val="74484734"/>
    <w:rsid w:val="77FD1267"/>
    <w:rsid w:val="792539DA"/>
    <w:rsid w:val="79F53FD4"/>
    <w:rsid w:val="7D5102A0"/>
    <w:rsid w:val="7FB82F36"/>
    <w:rsid w:val="EF7B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1018</Words>
  <Characters>1037</Characters>
  <Lines>10</Lines>
  <Paragraphs>2</Paragraphs>
  <TotalTime>2</TotalTime>
  <ScaleCrop>false</ScaleCrop>
  <LinksUpToDate>false</LinksUpToDate>
  <CharactersWithSpaces>1039</CharactersWithSpaces>
  <Application>WPS Office_12.1.2.23582_F1E327BC-269C-435d-A152-05C5408002CA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2021-01-10T06:07:00Z</dcterms:created>
  <dc:creator>lenovo</dc:creator>
  <cp:lastModifiedBy>user</cp:lastModifiedBy>
  <cp:lastPrinted>2021-01-15T07:20:00Z</cp:lastPrinted>
  <dcterms:modified xsi:type="dcterms:W3CDTF">2026-02-27T15:45:51Z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CBAC31FE8F52C49AAF4BA1699448223D_43</vt:lpwstr>
  </property>
  <property fmtid="{D5CDD505-2E9C-101B-9397-08002B2CF9AE}" pid="4" name="KSOTemplateDocerSaveRecord">
    <vt:lpwstr>eyJoZGlkIjoiN2I3ODNiZjU3MDI2YzcxYzcwYWVjMTI0MTUyMjBjZTgiLCJ1c2VySWQiOiIzMzI4NzQwOTYifQ==</vt:lpwstr>
  </property>
</Properties>
</file>