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吉林市商务局2021年政府信息工作年报</w:t>
      </w:r>
    </w:p>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规定，现公布吉林市商务局2021年政府信息公开年报。本年报由总体情况、主动公开政府信息情况、收到和处理政府信息公开申请情况、因政府信息公开工作被申请行政复议及提起行政诉讼的情况、政府信息公开工作存在的主要问题及改进情况、其他需要报告的事项等六部分组成。本年报中所列数据的统计期限自2021年1月1日起至2021年12月31日止。本年度报告的电子版可以在吉林市人民政府门户网站——政府信息公开专栏（</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"http://www.jlcity.gov.cn/"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http://www.jlcity.gov.cn/</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）上下载。如对本年度报告有任何疑问，请与吉林市商务局办公室联系（地址：吉林市松江中路65号，邮编：132011，电话：0432-62049918）</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（一）组织推动政府信息公开工作。</w:t>
      </w:r>
      <w:r>
        <w:rPr>
          <w:rFonts w:hint="default" w:ascii="Times New Roman" w:hAnsi="Times New Roman" w:eastAsia="仿宋_GB2312" w:cs="Times New Roman"/>
          <w:sz w:val="32"/>
          <w:szCs w:val="32"/>
        </w:rPr>
        <w:t>建立吉林市商务局政务公开（政府信息公开）工作领导小组，由局长任组长，分管副局长任常务副组长，局班子成员任副组长，各处室负责人为成员的领导小组，明确局办公室牵头负责政务公开（政府信息公开）工作，局行政审批办公室、综合处、法规处按照三定方案分别负责审批、信息维护、执法等相关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 w:hAnsi="楷体" w:eastAsia="楷体" w:cs="楷体"/>
          <w:sz w:val="32"/>
          <w:szCs w:val="32"/>
        </w:rPr>
        <w:t>（二）积极推动政府信息主动公开。</w:t>
      </w:r>
      <w:r>
        <w:rPr>
          <w:rFonts w:hint="default" w:ascii="Times New Roman" w:hAnsi="Times New Roman" w:eastAsia="仿宋_GB2312" w:cs="Times New Roman"/>
          <w:sz w:val="32"/>
          <w:szCs w:val="32"/>
        </w:rPr>
        <w:t>2021年，政府信息公开专栏进行升级改造，我局全力配合市政府办对升级后的政府信息公开专栏进行全面梳理维护。</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一是梳理调整我局政府信息公开目录。</w:t>
      </w:r>
      <w:r>
        <w:rPr>
          <w:rFonts w:hint="default" w:ascii="Times New Roman" w:hAnsi="Times New Roman" w:eastAsia="仿宋_GB2312" w:cs="Times New Roman"/>
          <w:sz w:val="32"/>
          <w:szCs w:val="32"/>
        </w:rPr>
        <w:t>根据政府信息公开工作要求，撤销发布2008年以来不适宜在目录中发布的动态、新闻类信息56条，对目录信息逐条进行分类，并对文字格式进行重新排版发布。</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二是完成法定主动公开内容。</w:t>
      </w:r>
      <w:r>
        <w:rPr>
          <w:rFonts w:hint="default" w:ascii="Times New Roman" w:hAnsi="Times New Roman" w:eastAsia="仿宋_GB2312" w:cs="Times New Roman"/>
          <w:sz w:val="32"/>
          <w:szCs w:val="32"/>
        </w:rPr>
        <w:t>将法定主动公开内容栏目中将涉及我局的履职依据；文件、公告类信息；机关简介；权责事项；行政许可和办事服务办理结果；行政处罚；预算决算；行政事业性收费；政府采购；重大项目；公务员招考录用；其他信息等内容逐条完善，并达到标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三是完善政府信息公开指南。</w:t>
      </w:r>
      <w:r>
        <w:rPr>
          <w:rFonts w:hint="default" w:ascii="Times New Roman" w:hAnsi="Times New Roman" w:eastAsia="仿宋_GB2312" w:cs="Times New Roman"/>
          <w:sz w:val="32"/>
          <w:szCs w:val="32"/>
        </w:rPr>
        <w:t>及时将本部门政府信息公开年度报告、指南进行格式规范，按要求发布栏目首页，网页前端显示规范。及时上传部门基本信息和主动公开目录清单，做到政府信息公开目录升级后各项内容合理规范。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 w:hAnsi="楷体" w:eastAsia="楷体" w:cs="楷体"/>
          <w:sz w:val="32"/>
          <w:szCs w:val="32"/>
        </w:rPr>
        <w:t>（三）认真规范处理依申请公开。</w:t>
      </w:r>
      <w:r>
        <w:rPr>
          <w:rFonts w:hint="default" w:ascii="Times New Roman" w:hAnsi="Times New Roman" w:eastAsia="仿宋_GB2312" w:cs="Times New Roman"/>
          <w:sz w:val="32"/>
          <w:szCs w:val="32"/>
        </w:rPr>
        <w:t>按标准做好依申请公开工作，及时查看、查收依申请公开渠道，2021年度未收到政府信息公开申请。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 w:hAnsi="楷体" w:eastAsia="楷体" w:cs="楷体"/>
          <w:sz w:val="32"/>
          <w:szCs w:val="32"/>
        </w:rPr>
        <w:t>（四）不断强化政府信息公开平台内容保障。</w:t>
      </w:r>
      <w:r>
        <w:rPr>
          <w:rFonts w:hint="default" w:ascii="Times New Roman" w:hAnsi="Times New Roman" w:eastAsia="仿宋_GB2312" w:cs="Times New Roman"/>
          <w:sz w:val="32"/>
          <w:szCs w:val="32"/>
        </w:rPr>
        <w:t>一是进一步明确政府信息公开标准。按照市政府办要求，进一步规范市商务局门户网站和政府信息公开网站信息公开目录、范围、内容、程序和发布格式，并按照最新要求对政府信息进行公开；进一步完善政府信息公开指南；进一步做好政府信息公开工作。全年我局政府信息公开工作无被上级通报，无行政复议、行政诉讼结果被纠正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 w:hAnsi="楷体" w:eastAsia="楷体" w:cs="楷体"/>
          <w:sz w:val="32"/>
          <w:szCs w:val="32"/>
        </w:rPr>
        <w:t>（五）全力做好宣传培训评估考核等基础工作。</w:t>
      </w:r>
      <w:r>
        <w:rPr>
          <w:rFonts w:hint="default" w:ascii="Times New Roman" w:hAnsi="Times New Roman" w:eastAsia="仿宋_GB2312" w:cs="Times New Roman"/>
          <w:sz w:val="32"/>
          <w:szCs w:val="32"/>
        </w:rPr>
        <w:t>将《政府信息公开条例》纳入局党组理论中心组学习计划，班子成员开展专题学习，解读《条例》内容。局政务公开领导小组办公室组织专题培训，提高具体工作人员业务能力。同时，在政府信息公开专栏发布《条例》及解读信息，全方位做好宣传工作。对政府信息公开的主体和原则、范围和内容、方式和程序、监督和保障等方面的知识做了明确的讲解，增强贯彻落实的主动性和自觉性，有效破解了对政府信息公开工作的错误认识和难以落实等难题，全局干部政务公开意识和业务素质普遍提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45</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rPr>
        <w:t>收到和处理政府信息公开申请情况</w:t>
      </w:r>
    </w:p>
    <w:tbl>
      <w:tblPr>
        <w:tblStyle w:val="6"/>
        <w:tblW w:w="0" w:type="auto"/>
        <w:jc w:val="center"/>
        <w:tblLayout w:type="autofit"/>
        <w:tblCellMar>
          <w:top w:w="0" w:type="dxa"/>
          <w:left w:w="0" w:type="dxa"/>
          <w:bottom w:w="0" w:type="dxa"/>
          <w:right w:w="0" w:type="dxa"/>
        </w:tblCellMar>
      </w:tblPr>
      <w:tblGrid>
        <w:gridCol w:w="636"/>
        <w:gridCol w:w="854"/>
        <w:gridCol w:w="2216"/>
        <w:gridCol w:w="741"/>
        <w:gridCol w:w="755"/>
        <w:gridCol w:w="755"/>
        <w:gridCol w:w="925"/>
        <w:gridCol w:w="861"/>
        <w:gridCol w:w="741"/>
        <w:gridCol w:w="741"/>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自然</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683"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三、</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（二）部分公开（区分处理的，只计这一情形，不计其他情形）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854" w:type="dxa"/>
            <w:vMerge w:val="continue"/>
            <w:tcBorders>
              <w:left w:val="nil"/>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政府信息公开行政复议、行政诉讼情况</w:t>
      </w:r>
    </w:p>
    <w:tbl>
      <w:tblPr>
        <w:tblStyle w:val="6"/>
        <w:tblW w:w="9286" w:type="dxa"/>
        <w:jc w:val="center"/>
        <w:tblLayout w:type="fixed"/>
        <w:tblCellMar>
          <w:top w:w="0" w:type="dxa"/>
          <w:left w:w="0" w:type="dxa"/>
          <w:bottom w:w="0" w:type="dxa"/>
          <w:right w:w="0" w:type="dxa"/>
        </w:tblCellMar>
      </w:tblPr>
      <w:tblGrid>
        <w:gridCol w:w="708"/>
        <w:gridCol w:w="635"/>
        <w:gridCol w:w="669"/>
        <w:gridCol w:w="646"/>
        <w:gridCol w:w="681"/>
        <w:gridCol w:w="531"/>
        <w:gridCol w:w="519"/>
        <w:gridCol w:w="565"/>
        <w:gridCol w:w="566"/>
        <w:gridCol w:w="670"/>
        <w:gridCol w:w="553"/>
        <w:gridCol w:w="565"/>
        <w:gridCol w:w="565"/>
        <w:gridCol w:w="577"/>
        <w:gridCol w:w="836"/>
      </w:tblGrid>
      <w:tr>
        <w:tblPrEx>
          <w:tblCellMar>
            <w:top w:w="0" w:type="dxa"/>
            <w:left w:w="0" w:type="dxa"/>
            <w:bottom w:w="0" w:type="dxa"/>
            <w:right w:w="0" w:type="dxa"/>
          </w:tblCellMar>
        </w:tblPrEx>
        <w:trPr>
          <w:jc w:val="center"/>
        </w:trPr>
        <w:tc>
          <w:tcPr>
            <w:tcW w:w="333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行政复议</w:t>
            </w:r>
          </w:p>
        </w:tc>
        <w:tc>
          <w:tcPr>
            <w:tcW w:w="59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行政诉讼</w:t>
            </w:r>
          </w:p>
        </w:tc>
      </w:tr>
      <w:tr>
        <w:tblPrEx>
          <w:tblCellMar>
            <w:top w:w="0" w:type="dxa"/>
            <w:left w:w="0" w:type="dxa"/>
            <w:bottom w:w="0" w:type="dxa"/>
            <w:right w:w="0" w:type="dxa"/>
          </w:tblCellMar>
        </w:tblPrEx>
        <w:trPr>
          <w:jc w:val="center"/>
        </w:trPr>
        <w:tc>
          <w:tcPr>
            <w:tcW w:w="70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结果维持</w:t>
            </w:r>
          </w:p>
        </w:tc>
        <w:tc>
          <w:tcPr>
            <w:tcW w:w="6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结果纠正</w:t>
            </w:r>
          </w:p>
        </w:tc>
        <w:tc>
          <w:tcPr>
            <w:tcW w:w="66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其他结果</w:t>
            </w:r>
          </w:p>
        </w:tc>
        <w:tc>
          <w:tcPr>
            <w:tcW w:w="64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尚未审结</w:t>
            </w:r>
          </w:p>
        </w:tc>
        <w:tc>
          <w:tcPr>
            <w:tcW w:w="68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总计</w:t>
            </w:r>
          </w:p>
        </w:tc>
        <w:tc>
          <w:tcPr>
            <w:tcW w:w="285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未经复议直接起诉</w:t>
            </w:r>
          </w:p>
        </w:tc>
        <w:tc>
          <w:tcPr>
            <w:tcW w:w="309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复议后起诉</w:t>
            </w:r>
          </w:p>
        </w:tc>
      </w:tr>
      <w:tr>
        <w:tblPrEx>
          <w:tblCellMar>
            <w:top w:w="0" w:type="dxa"/>
            <w:left w:w="0" w:type="dxa"/>
            <w:bottom w:w="0" w:type="dxa"/>
            <w:right w:w="0" w:type="dxa"/>
          </w:tblCellMar>
        </w:tblPrEx>
        <w:trPr>
          <w:jc w:val="center"/>
        </w:trPr>
        <w:tc>
          <w:tcPr>
            <w:tcW w:w="708"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p>
        </w:tc>
        <w:tc>
          <w:tcPr>
            <w:tcW w:w="635"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p>
        </w:tc>
        <w:tc>
          <w:tcPr>
            <w:tcW w:w="669"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p>
        </w:tc>
        <w:tc>
          <w:tcPr>
            <w:tcW w:w="646"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p>
        </w:tc>
        <w:tc>
          <w:tcPr>
            <w:tcW w:w="681"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420" w:firstLineChars="200"/>
              <w:jc w:val="center"/>
              <w:textAlignment w:val="auto"/>
              <w:rPr>
                <w:rFonts w:hint="default" w:ascii="Times New Roman" w:hAnsi="Times New Roman" w:eastAsia="仿宋_GB2312" w:cs="Times New Roman"/>
                <w:kern w:val="0"/>
                <w:sz w:val="21"/>
                <w:szCs w:val="21"/>
              </w:rPr>
            </w:pPr>
          </w:p>
        </w:tc>
        <w:tc>
          <w:tcPr>
            <w:tcW w:w="5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结果维持</w:t>
            </w:r>
          </w:p>
        </w:tc>
        <w:tc>
          <w:tcPr>
            <w:tcW w:w="5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结果纠正</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其他结果</w:t>
            </w:r>
          </w:p>
        </w:tc>
        <w:tc>
          <w:tcPr>
            <w:tcW w:w="5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尚未审结</w:t>
            </w: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总计</w:t>
            </w:r>
          </w:p>
        </w:tc>
        <w:tc>
          <w:tcPr>
            <w:tcW w:w="5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结果维持</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结果纠正</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其他结果</w:t>
            </w:r>
          </w:p>
        </w:tc>
        <w:tc>
          <w:tcPr>
            <w:tcW w:w="5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尚未审结</w:t>
            </w:r>
          </w:p>
        </w:tc>
        <w:tc>
          <w:tcPr>
            <w:tcW w:w="8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总计</w:t>
            </w:r>
          </w:p>
        </w:tc>
      </w:tr>
      <w:tr>
        <w:tblPrEx>
          <w:tblCellMar>
            <w:top w:w="0" w:type="dxa"/>
            <w:left w:w="0" w:type="dxa"/>
            <w:bottom w:w="0" w:type="dxa"/>
            <w:right w:w="0" w:type="dxa"/>
          </w:tblCellMar>
        </w:tblPrEx>
        <w:trPr>
          <w:trHeight w:val="696" w:hRule="atLeast"/>
          <w:jc w:val="center"/>
        </w:trPr>
        <w:tc>
          <w:tcPr>
            <w:tcW w:w="7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6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1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67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57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c>
          <w:tcPr>
            <w:tcW w:w="8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（一）存在的主要问题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我局从事政府信息公开工作的人员较少，而且是兼职，工作量较大，信息公开工作人员不足。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在信息公开工作上与公众双向交流力度尚需进一步加大。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深化对政府信息公开工作重要性的认识。要充分认识政务公开工作的重要性、复杂性和持续性，将政府信息公开工作当作党和政府与群众沟通的重要桥梁和纽带，当作全心全意为人民服务的重要环节，当作提高工作水平、接受社会监督的有效手段和重要窗口，当作规范行政行为的重要措施，认真对照考核办法的有关规定，寻找自身的差距，增强政务公开工作的紧迫感和责任感，加大力度，加快进度，不断提高政务公开工作的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完善政府信息公开工作制度。要进一步完善政府信息公开的各项工作制度和管理制度，结合实际制定政务信息公开年度计划，做到有计划、有落实。通过抓落实，抓实效，确保制度落到实处，使政务公开工作规范运行、持久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拓宽政府信息公开渠道，为社会各界提供更加方便快捷的信息公开服务。要将政府信息公开与各县区商务局的工作相结合，加强沟通，建立更加完善畅通的信息手段以及报送、审核、公开运行流程，创新公开方法，丰富公开形式。并要正确把握和处理好公开与保密的关系，确保该公开信息及时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无其他需要报告的事项。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45877"/>
    <w:rsid w:val="00155746"/>
    <w:rsid w:val="00160AE1"/>
    <w:rsid w:val="00176158"/>
    <w:rsid w:val="001862D0"/>
    <w:rsid w:val="00191C02"/>
    <w:rsid w:val="001D4047"/>
    <w:rsid w:val="002103ED"/>
    <w:rsid w:val="002139CE"/>
    <w:rsid w:val="00262B9B"/>
    <w:rsid w:val="002B5EE7"/>
    <w:rsid w:val="00300E1E"/>
    <w:rsid w:val="00314229"/>
    <w:rsid w:val="00336CF7"/>
    <w:rsid w:val="0035451E"/>
    <w:rsid w:val="003C7374"/>
    <w:rsid w:val="003D3B92"/>
    <w:rsid w:val="003E711E"/>
    <w:rsid w:val="00416D51"/>
    <w:rsid w:val="004253CE"/>
    <w:rsid w:val="004967D0"/>
    <w:rsid w:val="004C1524"/>
    <w:rsid w:val="004D73DA"/>
    <w:rsid w:val="004E4B70"/>
    <w:rsid w:val="00504BDA"/>
    <w:rsid w:val="00515455"/>
    <w:rsid w:val="005434B0"/>
    <w:rsid w:val="00585A9C"/>
    <w:rsid w:val="00594038"/>
    <w:rsid w:val="005C606B"/>
    <w:rsid w:val="005D128B"/>
    <w:rsid w:val="00634E91"/>
    <w:rsid w:val="00647D2D"/>
    <w:rsid w:val="00666084"/>
    <w:rsid w:val="00667371"/>
    <w:rsid w:val="006A6685"/>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A45E3"/>
    <w:rsid w:val="009E0E6F"/>
    <w:rsid w:val="00A04FB9"/>
    <w:rsid w:val="00A45231"/>
    <w:rsid w:val="00A63A26"/>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43AFB"/>
    <w:rsid w:val="00E73B0E"/>
    <w:rsid w:val="00EA0B0A"/>
    <w:rsid w:val="00EB1AAF"/>
    <w:rsid w:val="00EB486F"/>
    <w:rsid w:val="00EC161F"/>
    <w:rsid w:val="00EC335E"/>
    <w:rsid w:val="00EE4669"/>
    <w:rsid w:val="00EE507F"/>
    <w:rsid w:val="00EF5CFE"/>
    <w:rsid w:val="00F32997"/>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3F59BB33"/>
    <w:rsid w:val="400E44FB"/>
    <w:rsid w:val="450C3AC5"/>
    <w:rsid w:val="49181DCF"/>
    <w:rsid w:val="4A02676F"/>
    <w:rsid w:val="4BCC7E94"/>
    <w:rsid w:val="51D907C9"/>
    <w:rsid w:val="524F43BC"/>
    <w:rsid w:val="56B07488"/>
    <w:rsid w:val="5F3CECAF"/>
    <w:rsid w:val="608B5AEC"/>
    <w:rsid w:val="61382CF4"/>
    <w:rsid w:val="678AE2AC"/>
    <w:rsid w:val="68EE3DB7"/>
    <w:rsid w:val="69912B2A"/>
    <w:rsid w:val="6DA66DF4"/>
    <w:rsid w:val="6FB026B2"/>
    <w:rsid w:val="70E7254E"/>
    <w:rsid w:val="71917722"/>
    <w:rsid w:val="71E3BD3F"/>
    <w:rsid w:val="72544ACF"/>
    <w:rsid w:val="74484734"/>
    <w:rsid w:val="792539DA"/>
    <w:rsid w:val="79F53FD4"/>
    <w:rsid w:val="7D5102A0"/>
    <w:rsid w:val="7FB82F36"/>
    <w:rsid w:val="97FFDE6A"/>
    <w:rsid w:val="9BBEC022"/>
    <w:rsid w:val="B6D5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488</Words>
  <Characters>2787</Characters>
  <Lines>23</Lines>
  <Paragraphs>6</Paragraphs>
  <TotalTime>404</TotalTime>
  <ScaleCrop>false</ScaleCrop>
  <LinksUpToDate>false</LinksUpToDate>
  <CharactersWithSpaces>3269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2021-01-09T22:07:00Z</dcterms:created>
  <dc:creator>lenovo</dc:creator>
  <cp:lastModifiedBy>inspur</cp:lastModifiedBy>
  <cp:lastPrinted>2021-01-14T23:20:00Z</cp:lastPrinted>
  <dcterms:modified xsi:type="dcterms:W3CDTF">2022-01-04T09:07:48Z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97FEFCB10DA14C8C9B7E747115EE5E50</vt:lpwstr>
  </property>
</Properties>
</file>